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773" w:type="dxa"/>
        <w:jc w:val="left"/>
        <w:tblInd w:w="-10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5670"/>
        <w:gridCol w:w="2837"/>
      </w:tblGrid>
      <w:tr>
        <w:trPr/>
        <w:tc>
          <w:tcPr>
            <w:tcW w:w="226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695325" cy="733425"/>
                  <wp:effectExtent l="0" t="0" r="0" b="0"/>
                  <wp:docPr id="1" name="Imagem 1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tip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lineRule="auto" w:line="240" w:before="0" w:after="0"/>
              <w:rPr>
                <w:rFonts w:ascii="Century Gothic" w:hAnsi="Century Gothic" w:cs="David"/>
                <w:bCs/>
                <w:color w:val="000000"/>
                <w:sz w:val="20"/>
                <w:szCs w:val="20"/>
              </w:rPr>
            </w:pPr>
            <w:r>
              <w:rPr>
                <w:rFonts w:cs="David" w:ascii="Century Gothic" w:hAnsi="Century Gothic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David" w:ascii="Century Gothic" w:hAnsi="Century Gothic"/>
                <w:bCs/>
                <w:color w:val="000000"/>
                <w:sz w:val="20"/>
                <w:szCs w:val="20"/>
              </w:rPr>
              <w:t>Serviço Público Federal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lineRule="auto" w:line="240" w:before="0" w:after="0"/>
              <w:rPr>
                <w:rFonts w:ascii="Century Gothic" w:hAnsi="Century Gothic" w:cs="David"/>
                <w:bCs/>
                <w:color w:val="000000"/>
                <w:sz w:val="20"/>
                <w:szCs w:val="20"/>
              </w:rPr>
            </w:pPr>
            <w:r>
              <w:rPr>
                <w:rFonts w:cs="David" w:ascii="Century Gothic" w:hAnsi="Century Gothic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David" w:ascii="Century Gothic" w:hAnsi="Century Gothic"/>
                <w:bCs/>
                <w:color w:val="000000"/>
                <w:sz w:val="20"/>
                <w:szCs w:val="20"/>
              </w:rPr>
              <w:t>Universidade Federal da Paraíba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lineRule="auto" w:line="240" w:before="0" w:after="0"/>
              <w:rPr>
                <w:rFonts w:ascii="Century Gothic" w:hAnsi="Century Gothic" w:cs="David"/>
                <w:bCs/>
                <w:color w:val="000000"/>
                <w:sz w:val="20"/>
                <w:szCs w:val="20"/>
              </w:rPr>
            </w:pPr>
            <w:r>
              <w:rPr>
                <w:rFonts w:cs="David" w:ascii="Century Gothic" w:hAnsi="Century Gothic"/>
                <w:bCs/>
                <w:color w:val="000000"/>
                <w:sz w:val="20"/>
                <w:szCs w:val="20"/>
              </w:rPr>
              <w:t>Centro de Ciências Humanas, Letras e Artes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cs="David" w:ascii="Century Gothic" w:hAnsi="Century Gothic"/>
                <w:bCs/>
                <w:color w:val="000000"/>
                <w:sz w:val="20"/>
                <w:szCs w:val="20"/>
              </w:rPr>
              <w:t>Instituto de Estudos Linguísticos e Culturais - INELC</w:t>
            </w:r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lineRule="auto" w:line="240" w:before="0" w:after="0"/>
              <w:jc w:val="center"/>
              <w:rPr>
                <w:rFonts w:ascii="Walbaum Display" w:hAnsi="Walbaum Display"/>
                <w:b/>
                <w:b/>
                <w:bCs/>
                <w:color w:val="365F91"/>
                <w:sz w:val="48"/>
                <w:szCs w:val="48"/>
              </w:rPr>
            </w:pPr>
            <w:r>
              <w:rPr>
                <w:rFonts w:ascii="Walbaum Display" w:hAnsi="Walbaum Display"/>
                <w:b/>
                <w:bCs/>
                <w:color w:val="365F91"/>
                <w:sz w:val="48"/>
                <w:szCs w:val="48"/>
              </w:rPr>
              <w:t>InELC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lineRule="auto" w:line="240" w:before="0" w:after="0"/>
              <w:jc w:val="center"/>
              <w:rPr>
                <w:rFonts w:ascii="Walbaum Display" w:hAnsi="Walbaum Display"/>
                <w:b/>
                <w:b/>
                <w:bCs/>
                <w:color w:val="365F91"/>
                <w:sz w:val="12"/>
                <w:szCs w:val="12"/>
              </w:rPr>
            </w:pPr>
            <w:r>
              <w:rPr>
                <w:rFonts w:ascii="Walbaum Display" w:hAnsi="Walbaum Display"/>
                <w:b/>
                <w:bCs/>
                <w:color w:val="365F91"/>
                <w:sz w:val="12"/>
                <w:szCs w:val="12"/>
              </w:rPr>
              <w:t>Instituto de Estudos Linguísticos e Culturais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 E C L A R A Ç Ã O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right="-7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Declaro para os devidos fins que </w:t>
      </w:r>
      <w:r>
        <w:rPr>
          <w:rFonts w:cs="Times New Roman" w:ascii="Times New Roman" w:hAnsi="Times New Roman"/>
          <w:color w:val="C9211E"/>
          <w:sz w:val="28"/>
          <w:szCs w:val="28"/>
        </w:rPr>
        <w:t>NOME DO CANDIDATO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CPF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C9211E"/>
          <w:sz w:val="28"/>
          <w:szCs w:val="28"/>
        </w:rPr>
        <w:t>cpf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C9211E"/>
          <w:sz w:val="28"/>
          <w:szCs w:val="28"/>
        </w:rPr>
        <w:t>do candidato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, RG </w:t>
      </w:r>
      <w:r>
        <w:rPr>
          <w:rFonts w:cs="Times New Roman" w:ascii="Times New Roman" w:hAnsi="Times New Roman"/>
          <w:b w:val="false"/>
          <w:bCs w:val="false"/>
          <w:color w:val="C9211E"/>
          <w:sz w:val="28"/>
          <w:szCs w:val="28"/>
        </w:rPr>
        <w:t>rg do candidato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obteve nota </w:t>
      </w:r>
      <w:r>
        <w:rPr>
          <w:rFonts w:cs="Times New Roman" w:ascii="Times New Roman" w:hAnsi="Times New Roman"/>
          <w:color w:val="C9211E"/>
          <w:sz w:val="28"/>
          <w:szCs w:val="28"/>
        </w:rPr>
        <w:t>NOTA DO CANDIDATO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color w:val="C9211E"/>
          <w:sz w:val="28"/>
          <w:szCs w:val="28"/>
        </w:rPr>
        <w:t>nota por extenso</w:t>
      </w:r>
      <w:r>
        <w:rPr>
          <w:rFonts w:cs="Times New Roman" w:ascii="Times New Roman" w:hAnsi="Times New Roman"/>
          <w:sz w:val="28"/>
          <w:szCs w:val="28"/>
        </w:rPr>
        <w:t xml:space="preserve">) no Exame de Proficiência em Língua </w:t>
      </w:r>
      <w:r>
        <w:rPr>
          <w:rFonts w:cs="Times New Roman" w:ascii="Times New Roman" w:hAnsi="Times New Roman"/>
          <w:color w:val="C9211E"/>
          <w:sz w:val="28"/>
          <w:szCs w:val="28"/>
        </w:rPr>
        <w:t>Inglesa / Francesa / Espanhola (escolher a língua em que realizou o exame)</w:t>
      </w:r>
      <w:r>
        <w:rPr>
          <w:rFonts w:cs="Times New Roman" w:ascii="Times New Roman" w:hAnsi="Times New Roman"/>
          <w:sz w:val="28"/>
          <w:szCs w:val="28"/>
        </w:rPr>
        <w:t xml:space="preserve">, realizado pelo Instituto de Estudos Linguísticos e Culturais da UFPB nos dias 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23 / 24 </w:t>
      </w:r>
      <w:r>
        <w:rPr>
          <w:rFonts w:cs="Times New Roman" w:ascii="Times New Roman" w:hAnsi="Times New Roman"/>
          <w:color w:val="C9211E"/>
          <w:sz w:val="28"/>
          <w:szCs w:val="28"/>
        </w:rPr>
        <w:t>(esoclher a data em que realizou o exame)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de setembro de 2022. Este é um exame de compreensão de texto em língua estrangeira, destinado a candidatos ou estudantes de Pós-Graduação – Mestrado ou Doutorado.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João Pessoa, 27 de outubro de 2022.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____________________________</w:t>
        <w:tab/>
        <w:tab/>
        <w:tab/>
        <w:t>_______________________________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Instituto de Estudos Linguísticos e Culturais</w:t>
        <w:tab/>
        <w:tab/>
        <w:t>Assinatura do(a) Candidato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Assinatura e Carimbo do(a) Responsável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16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Walbaum Display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1d9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e5028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e502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f7d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LibreOffice/7.3.1.3$Windows_X86_64 LibreOffice_project/a69ca51ded25f3eefd52d7bf9a5fad8c90b87951</Application>
  <AppVersion>15.0000</AppVersion>
  <Pages>1</Pages>
  <Words>154</Words>
  <Characters>824</Characters>
  <CharactersWithSpaces>976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2020-02-06T20:47:00Z</dcterms:created>
  <dc:creator>socorro</dc:creator>
  <dc:description/>
  <dc:language>pt-BR</dc:language>
  <cp:lastModifiedBy/>
  <cp:lastPrinted>2020-03-13T19:17:00Z</cp:lastPrinted>
  <dcterms:modified xsi:type="dcterms:W3CDTF">2022-10-25T11:33:21Z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