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665"/>
        <w:pBdr/>
        <w:spacing/>
        <w:ind w:left="4117"/>
        <w:rPr>
          <w:sz w:val="20"/>
        </w:rPr>
      </w:pPr>
      <w:r>
        <w:rPr>
          <w:sz w:val="20"/>
          <w:lang w:val="pt-BR" w:eastAsia="pt-BR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720068" cy="984123"/>
                <wp:effectExtent l="0" t="0" r="0" b="0"/>
                <wp:docPr id="1" name="Imag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 1"/>
                        <pic:cNvPicPr/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720068" cy="98412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width:56.70pt;height:77.49pt;mso-wrap-distance-left:0.00pt;mso-wrap-distance-top:0.00pt;mso-wrap-distance-right:0.00pt;mso-wrap-distance-bottom:0.00pt;z-index:1;" stroked="false">
                <v:imagedata r:id="rId8" o:title=""/>
                <o:lock v:ext="edit" rotation="t"/>
              </v:shape>
            </w:pict>
          </mc:Fallback>
        </mc:AlternateContent>
      </w:r>
      <w:r>
        <w:rPr>
          <w:sz w:val="20"/>
        </w:rPr>
      </w:r>
    </w:p>
    <w:p>
      <w:pPr>
        <w:pBdr/>
        <w:spacing w:before="33"/>
        <w:ind w:right="3114" w:firstLine="2" w:left="3116"/>
        <w:jc w:val="center"/>
        <w:rPr>
          <w:sz w:val="24"/>
        </w:rPr>
      </w:pPr>
      <w:r>
        <w:rPr>
          <w:sz w:val="24"/>
        </w:rPr>
        <w:t xml:space="preserve">Serviço Público Federal Ministério da Educação Universidade </w:t>
      </w:r>
      <w:r>
        <w:rPr>
          <w:sz w:val="24"/>
        </w:rPr>
        <w:t xml:space="preserve">Federal </w:t>
      </w:r>
      <w:r>
        <w:rPr>
          <w:sz w:val="24"/>
        </w:rPr>
        <w:t xml:space="preserve">da </w:t>
      </w:r>
      <w:r>
        <w:rPr>
          <w:sz w:val="24"/>
        </w:rPr>
        <w:t xml:space="preserve">Paraíba Pró - Reitoria de Administração</w:t>
      </w:r>
      <w:r>
        <w:rPr>
          <w:sz w:val="24"/>
        </w:rPr>
      </w:r>
    </w:p>
    <w:p>
      <w:pPr>
        <w:pStyle w:val="665"/>
        <w:pBdr/>
        <w:spacing/>
        <w:ind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pStyle w:val="665"/>
        <w:pBdr/>
        <w:spacing/>
        <w:ind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pStyle w:val="666"/>
        <w:pBdr/>
        <w:spacing/>
        <w:ind/>
        <w:rPr/>
      </w:pPr>
      <w:r>
        <w:t xml:space="preserve">TERMO </w:t>
      </w:r>
      <w:r>
        <w:t xml:space="preserve">DE </w:t>
      </w:r>
      <w:r>
        <w:t xml:space="preserve">RENÚNCIA </w:t>
      </w:r>
      <w:r>
        <w:t xml:space="preserve">PARCIAL/TOTAL–</w:t>
      </w:r>
      <w:r>
        <w:rPr>
          <w:spacing w:val="-2"/>
        </w:rPr>
        <w:t xml:space="preserve"> DIÁRIAS/PASSAGENS</w:t>
      </w:r>
      <w:r/>
    </w:p>
    <w:p>
      <w:pPr>
        <w:pStyle w:val="665"/>
        <w:pBdr/>
        <w:spacing w:before="233"/>
        <w:ind/>
        <w:rPr>
          <w:b/>
          <w:sz w:val="24"/>
        </w:rPr>
      </w:pPr>
      <w:r>
        <w:rPr>
          <w:b/>
          <w:sz w:val="24"/>
        </w:rPr>
      </w:r>
      <w:r>
        <w:rPr>
          <w:b/>
          <w:sz w:val="24"/>
        </w:rPr>
      </w:r>
    </w:p>
    <w:p>
      <w:pPr>
        <w:pBdr/>
        <w:spacing w:line="244" w:lineRule="auto"/>
        <w:ind w:right="141" w:hanging="12" w:left="128"/>
        <w:jc w:val="both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 xml:space="preserve">Conforme parecer do Procurador Federal Carlos Octaviano de Medeiros Mangueira, de 07 de agosto de </w:t>
      </w:r>
      <w:r>
        <w:rPr>
          <w:rFonts w:ascii="Arial MT" w:hAnsi="Arial MT"/>
          <w:sz w:val="20"/>
        </w:rPr>
        <w:t xml:space="preserve">2023, </w:t>
      </w:r>
      <w:r>
        <w:rPr>
          <w:rFonts w:ascii="Arial" w:hAnsi="Arial"/>
          <w:b/>
          <w:sz w:val="20"/>
        </w:rPr>
        <w:t xml:space="preserve">Processo </w:t>
      </w:r>
      <w:r>
        <w:rPr>
          <w:rFonts w:ascii="Arial" w:hAnsi="Arial"/>
          <w:b/>
          <w:sz w:val="20"/>
        </w:rPr>
        <w:t xml:space="preserve">nº23074.075421/2023-15 </w:t>
      </w:r>
      <w:r>
        <w:rPr>
          <w:rFonts w:ascii="Arial MT" w:hAnsi="Arial MT"/>
          <w:sz w:val="20"/>
        </w:rPr>
        <w:t xml:space="preserve">e </w:t>
      </w:r>
      <w:r>
        <w:rPr>
          <w:rFonts w:ascii="Arial" w:hAnsi="Arial"/>
          <w:b/>
          <w:sz w:val="20"/>
        </w:rPr>
        <w:t xml:space="preserve">NOTA </w:t>
      </w:r>
      <w:r>
        <w:rPr>
          <w:rFonts w:ascii="Arial" w:hAnsi="Arial"/>
          <w:b/>
          <w:sz w:val="20"/>
        </w:rPr>
        <w:t xml:space="preserve">n.</w:t>
      </w:r>
      <w:r>
        <w:rPr>
          <w:rFonts w:ascii="Arial" w:hAnsi="Arial"/>
          <w:b/>
          <w:spacing w:val="-2"/>
          <w:sz w:val="20"/>
        </w:rPr>
        <w:t xml:space="preserve">00206/2023/DEPJUR/PFUFPB/PGF/AGU</w:t>
      </w:r>
      <w:r>
        <w:rPr>
          <w:rFonts w:ascii="Arial MT" w:hAnsi="Arial MT"/>
          <w:spacing w:val="-2"/>
          <w:sz w:val="20"/>
        </w:rPr>
        <w:t xml:space="preserve">,</w:t>
      </w:r>
      <w:r>
        <w:rPr>
          <w:rFonts w:ascii="Arial MT" w:hAnsi="Arial MT"/>
          <w:sz w:val="20"/>
        </w:rPr>
      </w:r>
    </w:p>
    <w:p>
      <w:pPr>
        <w:pStyle w:val="665"/>
        <w:pBdr/>
        <w:spacing w:before="3" w:line="247" w:lineRule="auto"/>
        <w:ind w:right="136" w:left="140"/>
        <w:jc w:val="both"/>
        <w:rPr/>
      </w:pPr>
      <w:r>
        <w:rPr>
          <w:rFonts w:ascii="Arial MT" w:hAnsi="Arial MT"/>
          <w:sz w:val="20"/>
        </w:rPr>
        <w:t xml:space="preserve">com relação à renúncia de diárias, “</w:t>
      </w:r>
      <w:r>
        <w:t xml:space="preserve">conclui-se pela validade da renúncia pretendid</w:t>
      </w:r>
      <w:r>
        <w:t xml:space="preserve">a. Considerando o caráter excepcional da conduta e o dever legal de motivação (art. 50 da lei 9.784/99), a renúncia do servidor deve ser expressa e justificada pela Administração, de forma que fiquem evidenciados os motivos da dispensa e o interesse da Adm</w:t>
      </w:r>
      <w:r>
        <w:t xml:space="preserve">inistração no deslocamento efetuado”. Com relação à renúncia de passagens, não há óbice quanto à renúncia de indenização referente ao deslocamento. Ressalte-se, que em tais casos, “a renúncia do servidor deve ser expressa e justificada pela Administração, </w:t>
      </w:r>
      <w:r>
        <w:t xml:space="preserve">de forma que fiquem evidenciados os motivos da dispensa”.</w:t>
      </w:r>
      <w:r/>
    </w:p>
    <w:p>
      <w:pPr>
        <w:pStyle w:val="665"/>
        <w:pBdr/>
        <w:spacing w:before="7" w:line="247" w:lineRule="auto"/>
        <w:ind w:right="138" w:hanging="12" w:left="140"/>
        <w:jc w:val="both"/>
        <w:rPr/>
      </w:pPr>
      <w:r>
        <w:t xml:space="preserve">Ainda, </w:t>
      </w:r>
      <w:r>
        <w:t xml:space="preserve">conforme </w:t>
      </w:r>
      <w:r>
        <w:t xml:space="preserve">o </w:t>
      </w:r>
      <w:r>
        <w:t xml:space="preserve">parecer do Procurador,“a </w:t>
      </w:r>
      <w:r>
        <w:t xml:space="preserve">jurisprudência brasileira, </w:t>
      </w:r>
      <w:r>
        <w:t xml:space="preserve">a partir </w:t>
      </w:r>
      <w:r>
        <w:t xml:space="preserve">do </w:t>
      </w:r>
      <w:r>
        <w:t xml:space="preserve">SuperiorTribunal de Justiça, é pacífica quanto à possibilidade de renúncia a direito patrimonial disponível pelo servidor”.</w:t>
      </w:r>
      <w:r>
        <w:t xml:space="preserve"> Para o Procurador, “diárias são verbas indenizatórias que se destinam a cobrir despesas de pousada, alimentação e locomoção urbana dos servidores que, a serviço, se afastam de sua sede, em caráter eventual ou transitório, para outro ponto do território na</w:t>
      </w:r>
      <w:r>
        <w:t xml:space="preserve">cional ou para o exterior, nos termos dos arts. 51 ao 59 da Lei nº 8.112/1990”. Mostra-se de significativa relevância para as atividades pertinentes ao seu cargo a sua participação em eventos, bem como sua capacitação de modo geral. Situações em que </w:t>
      </w:r>
      <w:r>
        <w:t xml:space="preserve">o servi</w:t>
      </w:r>
      <w:r>
        <w:t xml:space="preserve">dor tem por imprescindível seu deslocamento, ainda que diante da escassez de recursos, confirmada pela Administração, poderá o servidor abrir mão de determinados direitos, ou parte do valor total a que se faria jus.</w:t>
      </w:r>
      <w:r/>
    </w:p>
    <w:p>
      <w:pPr>
        <w:pStyle w:val="665"/>
        <w:pBdr/>
        <w:spacing w:before="45"/>
        <w:ind/>
        <w:rPr/>
      </w:pPr>
      <w:r/>
      <w:r/>
    </w:p>
    <w:p>
      <w:pPr>
        <w:pStyle w:val="665"/>
        <w:pBdr/>
        <w:tabs>
          <w:tab w:val="left" w:leader="none" w:pos="5275"/>
          <w:tab w:val="left" w:leader="none" w:pos="8185"/>
        </w:tabs>
        <w:spacing w:before="1"/>
        <w:ind w:right="10"/>
        <w:jc w:val="both"/>
        <w:rPr/>
      </w:pPr>
      <w:r>
        <w:t xml:space="preserve">Eu,</w:t>
      </w:r>
      <w:r>
        <w:t xml:space="preserve"> </w:t>
      </w:r>
      <w:r>
        <w:rPr>
          <w:lang w:val="pt-BR"/>
        </w:rPr>
        <w:t xml:space="preserve">_______________</w:t>
      </w:r>
      <w:r>
        <w:rPr>
          <w:b/>
          <w:i/>
        </w:rPr>
        <w:t xml:space="preserve"> </w:t>
      </w:r>
      <w:r>
        <w:t xml:space="preserve">,SIAPE </w:t>
      </w:r>
      <w:r>
        <w:t xml:space="preserve">nº</w:t>
      </w:r>
      <w:r>
        <w:rPr>
          <w:lang w:val="pt-BR"/>
        </w:rPr>
        <w:t xml:space="preserve">_________</w:t>
      </w:r>
      <w:r>
        <w:t xml:space="preserve">,</w:t>
      </w:r>
      <w:r>
        <w:t xml:space="preserve"> </w:t>
      </w:r>
      <w:r>
        <w:t xml:space="preserve">CPF</w:t>
      </w:r>
      <w:r>
        <w:t xml:space="preserve"> </w:t>
      </w:r>
      <w:r>
        <w:rPr>
          <w:spacing w:val="-5"/>
        </w:rPr>
        <w:t xml:space="preserve">nº</w:t>
      </w:r>
      <w:r>
        <w:rPr>
          <w:spacing w:val="-5"/>
        </w:rPr>
        <w:t xml:space="preserve"> </w:t>
      </w:r>
      <w:r>
        <w:rPr>
          <w:spacing w:val="-5"/>
          <w:lang w:val="pt-BR"/>
        </w:rPr>
        <w:t xml:space="preserve">_______________</w:t>
      </w:r>
      <w:r>
        <w:rPr>
          <w:spacing w:val="-5"/>
        </w:rPr>
        <w:t xml:space="preserve">, l</w:t>
      </w:r>
      <w:r>
        <w:t xml:space="preserve">i e concordo co</w:t>
      </w:r>
      <w:r>
        <w:t xml:space="preserve">m os termos acima mencionados, renuncio voluntariamente</w:t>
      </w:r>
      <w:r>
        <w:t xml:space="preserve"> </w:t>
      </w:r>
      <w:r>
        <w:t xml:space="preserve">por</w:t>
      </w:r>
      <w:r>
        <w:t xml:space="preserve"> </w:t>
      </w:r>
      <w:r>
        <w:t xml:space="preserve">motivos</w:t>
      </w:r>
      <w:r>
        <w:t xml:space="preserve"> </w:t>
      </w:r>
      <w:r>
        <w:t xml:space="preserve">de</w:t>
      </w:r>
      <w:r>
        <w:rPr>
          <w:u w:val="single"/>
        </w:rPr>
        <w:t xml:space="preserve"> “</w:t>
      </w:r>
      <w:r>
        <w:rPr>
          <w:b/>
          <w:u w:val="single"/>
        </w:rPr>
        <w:t xml:space="preserve">restrições orçamentárias</w:t>
      </w:r>
      <w:r>
        <w:rPr>
          <w:u w:val="single"/>
        </w:rPr>
        <w:t xml:space="preserve">”</w:t>
      </w:r>
      <w:r>
        <w:t xml:space="preserve">, concordo expressamente em:</w:t>
      </w:r>
      <w:r/>
    </w:p>
    <w:p>
      <w:pPr>
        <w:pStyle w:val="665"/>
        <w:pBdr/>
        <w:spacing w:before="50"/>
        <w:ind/>
        <w:rPr/>
      </w:pPr>
      <w:r/>
      <w:r/>
    </w:p>
    <w:p>
      <w:pPr>
        <w:pStyle w:val="665"/>
        <w:pBdr/>
        <w:tabs>
          <w:tab w:val="left" w:leader="none" w:pos="5245"/>
        </w:tabs>
        <w:spacing w:line="254" w:lineRule="auto"/>
        <w:ind w:right="4256" w:left="128"/>
        <w:rPr/>
      </w:pPr>
      <w:r>
        <w:t xml:space="preserve">(</w:t>
      </w:r>
      <w:r>
        <w:t xml:space="preserve">    </w:t>
      </w:r>
      <w:r>
        <w:t xml:space="preserve">) </w:t>
      </w:r>
      <w:r>
        <w:t xml:space="preserve">renunciar</w:t>
      </w:r>
      <w:r>
        <w:t xml:space="preserve"> </w:t>
      </w:r>
      <w:r>
        <w:t xml:space="preserve">totalmente</w:t>
      </w:r>
      <w:r>
        <w:t xml:space="preserve"> </w:t>
      </w:r>
      <w:r>
        <w:t xml:space="preserve">as</w:t>
      </w:r>
      <w:r>
        <w:t xml:space="preserve"> </w:t>
      </w:r>
      <w:r>
        <w:t xml:space="preserve">diárias</w:t>
      </w:r>
      <w:r>
        <w:t xml:space="preserve"> </w:t>
      </w:r>
      <w:r>
        <w:t xml:space="preserve">a</w:t>
      </w:r>
      <w:r>
        <w:t xml:space="preserve"> </w:t>
      </w:r>
      <w:r>
        <w:t xml:space="preserve">que</w:t>
      </w:r>
      <w:r>
        <w:t xml:space="preserve"> </w:t>
      </w:r>
      <w:r>
        <w:t xml:space="preserve">tenho</w:t>
      </w:r>
      <w:r>
        <w:t xml:space="preserve"> </w:t>
      </w:r>
      <w:r>
        <w:t xml:space="preserve">direito</w:t>
      </w:r>
      <w:r/>
    </w:p>
    <w:p>
      <w:pPr>
        <w:pStyle w:val="665"/>
        <w:pBdr/>
        <w:tabs>
          <w:tab w:val="left" w:leader="none" w:pos="5245"/>
        </w:tabs>
        <w:spacing w:line="254" w:lineRule="auto"/>
        <w:ind w:right="4256" w:left="128"/>
        <w:rPr/>
      </w:pPr>
      <w:r>
        <w:t xml:space="preserve">(</w:t>
      </w:r>
      <w:r>
        <w:t xml:space="preserve">    </w:t>
      </w:r>
      <w:r>
        <w:t xml:space="preserve">) receber diárias parciais</w:t>
      </w:r>
      <w:r/>
    </w:p>
    <w:p>
      <w:pPr>
        <w:pStyle w:val="665"/>
        <w:pBdr/>
        <w:spacing w:before="4" w:line="254" w:lineRule="auto"/>
        <w:ind w:right="2271" w:left="128"/>
        <w:rPr/>
      </w:pPr>
      <w:r>
        <w:t xml:space="preserve">(</w:t>
      </w:r>
      <w:r>
        <w:t xml:space="preserve"> x </w:t>
      </w:r>
      <w:r>
        <w:t xml:space="preserve">) </w:t>
      </w:r>
      <w:r>
        <w:t xml:space="preserve">renunciar</w:t>
      </w:r>
      <w:r>
        <w:t xml:space="preserve"> </w:t>
      </w:r>
      <w:r>
        <w:t xml:space="preserve">totalmente</w:t>
      </w:r>
      <w:r>
        <w:t xml:space="preserve"> </w:t>
      </w:r>
      <w:r>
        <w:t xml:space="preserve">o</w:t>
      </w:r>
      <w:r>
        <w:t xml:space="preserve"> </w:t>
      </w:r>
      <w:r>
        <w:t xml:space="preserve">recebimento</w:t>
      </w:r>
      <w:r>
        <w:t xml:space="preserve"> </w:t>
      </w:r>
      <w:r>
        <w:t xml:space="preserve">de</w:t>
      </w:r>
      <w:r>
        <w:t xml:space="preserve"> </w:t>
      </w:r>
      <w:r>
        <w:t xml:space="preserve">passagens</w:t>
      </w:r>
      <w:r>
        <w:t xml:space="preserve"> </w:t>
      </w:r>
      <w:r>
        <w:t xml:space="preserve">a</w:t>
      </w:r>
      <w:r>
        <w:t xml:space="preserve"> </w:t>
      </w:r>
      <w:r>
        <w:t xml:space="preserve">que</w:t>
      </w:r>
      <w:r>
        <w:t xml:space="preserve"> </w:t>
      </w:r>
      <w:r>
        <w:t xml:space="preserve">tenho</w:t>
      </w:r>
      <w:r>
        <w:t xml:space="preserve"> </w:t>
      </w:r>
      <w:r>
        <w:t xml:space="preserve">direito</w:t>
      </w:r>
      <w:r/>
    </w:p>
    <w:p>
      <w:pPr>
        <w:pStyle w:val="665"/>
        <w:pBdr/>
        <w:spacing w:before="4" w:line="254" w:lineRule="auto"/>
        <w:ind w:right="2271" w:left="128"/>
        <w:rPr/>
      </w:pPr>
      <w:r>
        <w:t xml:space="preserve">(</w:t>
      </w:r>
      <w:r>
        <w:t xml:space="preserve">    </w:t>
      </w:r>
      <w:r>
        <w:t xml:space="preserve">) receber passagens somente de ida</w:t>
      </w:r>
      <w:r/>
    </w:p>
    <w:p>
      <w:pPr>
        <w:pStyle w:val="665"/>
        <w:pBdr/>
        <w:tabs>
          <w:tab w:val="left" w:leader="none" w:pos="1675"/>
          <w:tab w:val="left" w:leader="none" w:pos="2286"/>
          <w:tab w:val="left" w:leader="none" w:pos="2956"/>
        </w:tabs>
        <w:spacing w:before="3" w:line="535" w:lineRule="auto"/>
        <w:ind w:right="5531" w:left="128"/>
        <w:rPr>
          <w:spacing w:val="-10"/>
        </w:rPr>
      </w:pPr>
      <w:r>
        <w:t xml:space="preserve">(</w:t>
      </w:r>
      <w:r>
        <w:t xml:space="preserve">    </w:t>
      </w:r>
      <w:r>
        <w:t xml:space="preserve">) </w:t>
      </w:r>
      <w:r>
        <w:t xml:space="preserve">receber</w:t>
      </w:r>
      <w:r>
        <w:t xml:space="preserve"> </w:t>
      </w:r>
      <w:r>
        <w:t xml:space="preserve">passagens</w:t>
      </w:r>
      <w:r>
        <w:t xml:space="preserve"> </w:t>
      </w:r>
      <w:r>
        <w:t xml:space="preserve">somente</w:t>
      </w:r>
      <w:r>
        <w:t xml:space="preserve"> </w:t>
      </w:r>
      <w:r>
        <w:t xml:space="preserve">de</w:t>
      </w:r>
      <w:r>
        <w:t xml:space="preserve"> </w:t>
      </w:r>
      <w:r>
        <w:t xml:space="preserve">volta Porto Alegre</w:t>
      </w:r>
      <w:r>
        <w:t xml:space="preserve">, </w:t>
      </w:r>
      <w:r>
        <w:rPr>
          <w:u w:val="single"/>
        </w:rPr>
        <w:tab/>
      </w:r>
      <w:r>
        <w:t xml:space="preserve">/ </w:t>
      </w:r>
      <w:r>
        <w:rPr>
          <w:u w:val="single"/>
        </w:rPr>
        <w:tab/>
      </w:r>
      <w:r>
        <w:t xml:space="preserve">/ </w:t>
      </w:r>
      <w:r>
        <w:rPr>
          <w:u w:val="single"/>
        </w:rPr>
        <w:tab/>
      </w:r>
      <w:r>
        <w:rPr>
          <w:spacing w:val="-10"/>
        </w:rPr>
        <w:t xml:space="preserve">.</w:t>
      </w:r>
      <w:r>
        <w:rPr>
          <w:spacing w:val="-10"/>
        </w:rPr>
      </w:r>
    </w:p>
    <w:p>
      <w:pPr>
        <w:pStyle w:val="665"/>
        <w:pBdr/>
        <w:tabs>
          <w:tab w:val="left" w:leader="none" w:pos="1675"/>
          <w:tab w:val="left" w:leader="none" w:pos="2286"/>
          <w:tab w:val="left" w:leader="none" w:pos="2956"/>
        </w:tabs>
        <w:spacing w:before="3" w:line="535" w:lineRule="auto"/>
        <w:ind w:right="5531" w:left="128"/>
        <w:rPr/>
      </w:pPr>
      <w:r/>
      <w:r/>
    </w:p>
    <w:p>
      <w:pPr>
        <w:pStyle w:val="665"/>
        <w:pBdr/>
        <w:spacing w:before="6"/>
        <w:ind/>
        <w:rPr>
          <w:sz w:val="19"/>
        </w:rPr>
      </w:pPr>
      <w:r>
        <w:rPr>
          <w:sz w:val="19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58752" behindDoc="1" locked="0" layoutInCell="1" allowOverlap="1">
                <wp:simplePos x="0" y="0"/>
                <wp:positionH relativeFrom="page">
                  <wp:posOffset>2525395</wp:posOffset>
                </wp:positionH>
                <wp:positionV relativeFrom="paragraph">
                  <wp:posOffset>158115</wp:posOffset>
                </wp:positionV>
                <wp:extent cx="2863215" cy="1270"/>
                <wp:effectExtent l="0" t="0" r="0" b="0"/>
                <wp:wrapTopAndBottom/>
                <wp:docPr id="2" name="docshap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863215" cy="127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+- gd1 4509 0"/>
                            <a:gd name="gd4" fmla="+- gd2 0 0"/>
                          </a:gdLst>
                          <a:ahLst/>
                          <a:cxnLst/>
                          <a:rect l="0" t="0" r="r" b="b"/>
                          <a:pathLst>
                            <a:path w="4509" h="1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</a:path>
                          </a:pathLst>
                        </a:custGeom>
                        <a:noFill/>
                        <a:ln w="5691"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" o:spid="_x0000_s1" style="position:absolute;z-index:-251658752;o:allowoverlap:true;o:allowincell:true;mso-position-horizontal-relative:page;margin-left:198.85pt;mso-position-horizontal:absolute;mso-position-vertical-relative:text;margin-top:12.45pt;mso-position-vertical:absolute;width:225.45pt;height:0.10pt;mso-wrap-distance-left:0.00pt;mso-wrap-distance-top:0.00pt;mso-wrap-distance-right:0.00pt;mso-wrap-distance-bottom:0.00pt;visibility:visible;" path="m0,0l99998,0e" coordsize="100000,100000" filled="f" strokecolor="#000000" strokeweight="0.45pt">
                <v:path textboxrect="0,0,0,0"/>
                <w10:wrap type="topAndBottom"/>
              </v:shape>
            </w:pict>
          </mc:Fallback>
        </mc:AlternateContent>
      </w:r>
      <w:r>
        <w:rPr>
          <w:sz w:val="19"/>
        </w:rPr>
      </w:r>
    </w:p>
    <w:p>
      <w:pPr>
        <w:pStyle w:val="665"/>
        <w:pBdr/>
        <w:spacing w:before="15"/>
        <w:ind w:right="10"/>
        <w:jc w:val="center"/>
        <w:rPr/>
      </w:pPr>
      <w:r>
        <w:t xml:space="preserve">Assinatura</w:t>
      </w:r>
      <w:r>
        <w:t xml:space="preserve"> </w:t>
      </w:r>
      <w:r>
        <w:t xml:space="preserve">do</w:t>
      </w:r>
      <w:r>
        <w:t xml:space="preserve"> </w:t>
      </w:r>
      <w:r>
        <w:rPr>
          <w:spacing w:val="-2"/>
        </w:rPr>
        <w:t xml:space="preserve">Proposto</w:t>
      </w:r>
      <w:r/>
    </w:p>
    <w:sectPr>
      <w:footnotePr/>
      <w:endnotePr/>
      <w:type w:val="continuous"/>
      <w:pgSz w:h="16840" w:orient="portrait" w:w="11910"/>
      <w:pgMar w:top="680" w:right="992" w:bottom="280" w:left="1559" w:header="720" w:footer="720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MT">
    <w:panose1 w:val="020B0604020202020204"/>
  </w:font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lTrailSpace w:val="true"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false"/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1">
    <w:name w:val="Table Grid"/>
    <w:basedOn w:val="662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">
    <w:name w:val="Table Grid Light"/>
    <w:basedOn w:val="66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Plain Table 1"/>
    <w:basedOn w:val="66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2"/>
    <w:basedOn w:val="66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3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4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5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Grid Table 1 Light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 - Accent 1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2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3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4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5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6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2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 - Accent 1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2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3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4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5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6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3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 - Accent 1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2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3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4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5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6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4"/>
    <w:basedOn w:val="66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 - Accent 1"/>
    <w:basedOn w:val="66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2"/>
    <w:basedOn w:val="66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3"/>
    <w:basedOn w:val="66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4"/>
    <w:basedOn w:val="66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5"/>
    <w:basedOn w:val="66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6"/>
    <w:basedOn w:val="66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5 Dark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- Accent 1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 - Accent 2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3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- Accent 4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 - Accent 5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6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6 Colorful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 - Accent 1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2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3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4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5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6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7 Colorful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 - Accent 1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2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3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4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5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6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List Table 1 Light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 - Accent 1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2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3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4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5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6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2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 - Accent 1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2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3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4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5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6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3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 - Accent 1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2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3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4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5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6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4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 - Accent 1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2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3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4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5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6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5 Dark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 - Accent 1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2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3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4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5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6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6 Colorful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 - Accent 1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2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3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4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5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6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7 Colorful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 - Accent 1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2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3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4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5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6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ned - Accent"/>
    <w:basedOn w:val="66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 1"/>
    <w:basedOn w:val="66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2"/>
    <w:basedOn w:val="66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3"/>
    <w:basedOn w:val="66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4"/>
    <w:basedOn w:val="66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5"/>
    <w:basedOn w:val="66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6"/>
    <w:basedOn w:val="66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Bordered &amp; Lined - Accent"/>
    <w:basedOn w:val="66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 1"/>
    <w:basedOn w:val="66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2"/>
    <w:basedOn w:val="66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3"/>
    <w:basedOn w:val="66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4"/>
    <w:basedOn w:val="66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5"/>
    <w:basedOn w:val="66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6"/>
    <w:basedOn w:val="66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 - Accent 1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2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3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4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5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6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8">
    <w:name w:val="Heading 1"/>
    <w:basedOn w:val="660"/>
    <w:next w:val="660"/>
    <w:link w:val="149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39">
    <w:name w:val="Heading 2"/>
    <w:basedOn w:val="660"/>
    <w:next w:val="660"/>
    <w:link w:val="150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0">
    <w:name w:val="Heading 3"/>
    <w:basedOn w:val="660"/>
    <w:next w:val="660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1">
    <w:name w:val="Heading 4"/>
    <w:basedOn w:val="660"/>
    <w:next w:val="660"/>
    <w:link w:val="152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2">
    <w:name w:val="Heading 5"/>
    <w:basedOn w:val="660"/>
    <w:next w:val="660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3">
    <w:name w:val="Heading 6"/>
    <w:basedOn w:val="660"/>
    <w:next w:val="660"/>
    <w:link w:val="154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4">
    <w:name w:val="Heading 7"/>
    <w:basedOn w:val="660"/>
    <w:next w:val="660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5">
    <w:name w:val="Heading 8"/>
    <w:basedOn w:val="660"/>
    <w:next w:val="660"/>
    <w:link w:val="156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6">
    <w:name w:val="Heading 9"/>
    <w:basedOn w:val="660"/>
    <w:next w:val="660"/>
    <w:link w:val="157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9">
    <w:name w:val="Heading 1 Char"/>
    <w:basedOn w:val="661"/>
    <w:link w:val="13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0">
    <w:name w:val="Heading 2 Char"/>
    <w:basedOn w:val="661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1">
    <w:name w:val="Heading 3 Char"/>
    <w:basedOn w:val="661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2">
    <w:name w:val="Heading 4 Char"/>
    <w:basedOn w:val="661"/>
    <w:link w:val="141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3">
    <w:name w:val="Heading 5 Char"/>
    <w:basedOn w:val="661"/>
    <w:link w:val="14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4">
    <w:name w:val="Heading 6 Char"/>
    <w:basedOn w:val="661"/>
    <w:link w:val="143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5">
    <w:name w:val="Heading 7 Char"/>
    <w:basedOn w:val="661"/>
    <w:link w:val="14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6">
    <w:name w:val="Heading 8 Char"/>
    <w:basedOn w:val="661"/>
    <w:link w:val="14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7">
    <w:name w:val="Heading 9 Char"/>
    <w:basedOn w:val="661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9">
    <w:name w:val="Title Char"/>
    <w:basedOn w:val="661"/>
    <w:link w:val="666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0">
    <w:name w:val="Subtitle"/>
    <w:basedOn w:val="660"/>
    <w:next w:val="660"/>
    <w:link w:val="161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1">
    <w:name w:val="Subtitle Char"/>
    <w:basedOn w:val="661"/>
    <w:link w:val="160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2">
    <w:name w:val="Quote"/>
    <w:basedOn w:val="660"/>
    <w:next w:val="660"/>
    <w:link w:val="163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3">
    <w:name w:val="Quote Char"/>
    <w:basedOn w:val="661"/>
    <w:link w:val="162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5">
    <w:name w:val="Intense Emphasis"/>
    <w:basedOn w:val="661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6">
    <w:name w:val="Intense Quote"/>
    <w:basedOn w:val="660"/>
    <w:next w:val="660"/>
    <w:link w:val="167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7">
    <w:name w:val="Intense Quote Char"/>
    <w:basedOn w:val="661"/>
    <w:link w:val="166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8">
    <w:name w:val="Intense Reference"/>
    <w:basedOn w:val="661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69">
    <w:name w:val="No Spacing"/>
    <w:basedOn w:val="660"/>
    <w:uiPriority w:val="1"/>
    <w:qFormat/>
    <w:pPr>
      <w:pBdr/>
      <w:spacing w:after="0" w:line="240" w:lineRule="auto"/>
      <w:ind/>
    </w:pPr>
  </w:style>
  <w:style w:type="character" w:styleId="170">
    <w:name w:val="Subtle Emphasis"/>
    <w:basedOn w:val="661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1">
    <w:name w:val="Emphasis"/>
    <w:basedOn w:val="661"/>
    <w:uiPriority w:val="20"/>
    <w:qFormat/>
    <w:pPr>
      <w:pBdr/>
      <w:spacing/>
      <w:ind/>
    </w:pPr>
    <w:rPr>
      <w:i/>
      <w:iCs/>
    </w:rPr>
  </w:style>
  <w:style w:type="character" w:styleId="172">
    <w:name w:val="Strong"/>
    <w:basedOn w:val="661"/>
    <w:uiPriority w:val="22"/>
    <w:qFormat/>
    <w:pPr>
      <w:pBdr/>
      <w:spacing/>
      <w:ind/>
    </w:pPr>
    <w:rPr>
      <w:b/>
      <w:bCs/>
    </w:rPr>
  </w:style>
  <w:style w:type="character" w:styleId="173">
    <w:name w:val="Subtle Reference"/>
    <w:basedOn w:val="661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4">
    <w:name w:val="Book Title"/>
    <w:basedOn w:val="661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5">
    <w:name w:val="Header"/>
    <w:basedOn w:val="660"/>
    <w:link w:val="176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6">
    <w:name w:val="Header Char"/>
    <w:basedOn w:val="661"/>
    <w:link w:val="175"/>
    <w:uiPriority w:val="99"/>
    <w:pPr>
      <w:pBdr/>
      <w:spacing/>
      <w:ind/>
    </w:pPr>
  </w:style>
  <w:style w:type="paragraph" w:styleId="177">
    <w:name w:val="Footer"/>
    <w:basedOn w:val="660"/>
    <w:link w:val="178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8">
    <w:name w:val="Footer Char"/>
    <w:basedOn w:val="661"/>
    <w:link w:val="177"/>
    <w:uiPriority w:val="99"/>
    <w:pPr>
      <w:pBdr/>
      <w:spacing/>
      <w:ind/>
    </w:pPr>
  </w:style>
  <w:style w:type="paragraph" w:styleId="179">
    <w:name w:val="Caption"/>
    <w:basedOn w:val="660"/>
    <w:next w:val="660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0">
    <w:name w:val="footnote text"/>
    <w:basedOn w:val="660"/>
    <w:link w:val="18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1">
    <w:name w:val="Footnote Text Char"/>
    <w:basedOn w:val="661"/>
    <w:link w:val="180"/>
    <w:uiPriority w:val="99"/>
    <w:semiHidden/>
    <w:pPr>
      <w:pBdr/>
      <w:spacing/>
      <w:ind/>
    </w:pPr>
    <w:rPr>
      <w:sz w:val="20"/>
      <w:szCs w:val="20"/>
    </w:rPr>
  </w:style>
  <w:style w:type="character" w:styleId="182">
    <w:name w:val="footnote reference"/>
    <w:basedOn w:val="661"/>
    <w:uiPriority w:val="99"/>
    <w:semiHidden/>
    <w:unhideWhenUsed/>
    <w:pPr>
      <w:pBdr/>
      <w:spacing/>
      <w:ind/>
    </w:pPr>
    <w:rPr>
      <w:vertAlign w:val="superscript"/>
    </w:rPr>
  </w:style>
  <w:style w:type="paragraph" w:styleId="183">
    <w:name w:val="endnote text"/>
    <w:basedOn w:val="660"/>
    <w:link w:val="18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4">
    <w:name w:val="Endnote Text Char"/>
    <w:basedOn w:val="661"/>
    <w:link w:val="183"/>
    <w:uiPriority w:val="99"/>
    <w:semiHidden/>
    <w:pPr>
      <w:pBdr/>
      <w:spacing/>
      <w:ind/>
    </w:pPr>
    <w:rPr>
      <w:sz w:val="20"/>
      <w:szCs w:val="20"/>
    </w:rPr>
  </w:style>
  <w:style w:type="character" w:styleId="185">
    <w:name w:val="endnote reference"/>
    <w:basedOn w:val="661"/>
    <w:uiPriority w:val="99"/>
    <w:semiHidden/>
    <w:unhideWhenUsed/>
    <w:pPr>
      <w:pBdr/>
      <w:spacing/>
      <w:ind/>
    </w:pPr>
    <w:rPr>
      <w:vertAlign w:val="superscript"/>
    </w:rPr>
  </w:style>
  <w:style w:type="character" w:styleId="186">
    <w:name w:val="Hyperlink"/>
    <w:basedOn w:val="661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7">
    <w:name w:val="FollowedHyperlink"/>
    <w:basedOn w:val="661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8">
    <w:name w:val="toc 1"/>
    <w:basedOn w:val="660"/>
    <w:next w:val="660"/>
    <w:uiPriority w:val="39"/>
    <w:unhideWhenUsed/>
    <w:pPr>
      <w:pBdr/>
      <w:spacing w:after="100"/>
      <w:ind/>
    </w:pPr>
  </w:style>
  <w:style w:type="paragraph" w:styleId="189">
    <w:name w:val="toc 2"/>
    <w:basedOn w:val="660"/>
    <w:next w:val="660"/>
    <w:uiPriority w:val="39"/>
    <w:unhideWhenUsed/>
    <w:pPr>
      <w:pBdr/>
      <w:spacing w:after="100"/>
      <w:ind w:left="220"/>
    </w:pPr>
  </w:style>
  <w:style w:type="paragraph" w:styleId="190">
    <w:name w:val="toc 3"/>
    <w:basedOn w:val="660"/>
    <w:next w:val="660"/>
    <w:uiPriority w:val="39"/>
    <w:unhideWhenUsed/>
    <w:pPr>
      <w:pBdr/>
      <w:spacing w:after="100"/>
      <w:ind w:left="440"/>
    </w:pPr>
  </w:style>
  <w:style w:type="paragraph" w:styleId="191">
    <w:name w:val="toc 4"/>
    <w:basedOn w:val="660"/>
    <w:next w:val="660"/>
    <w:uiPriority w:val="39"/>
    <w:unhideWhenUsed/>
    <w:pPr>
      <w:pBdr/>
      <w:spacing w:after="100"/>
      <w:ind w:left="660"/>
    </w:pPr>
  </w:style>
  <w:style w:type="paragraph" w:styleId="192">
    <w:name w:val="toc 5"/>
    <w:basedOn w:val="660"/>
    <w:next w:val="660"/>
    <w:uiPriority w:val="39"/>
    <w:unhideWhenUsed/>
    <w:pPr>
      <w:pBdr/>
      <w:spacing w:after="100"/>
      <w:ind w:left="880"/>
    </w:pPr>
  </w:style>
  <w:style w:type="paragraph" w:styleId="193">
    <w:name w:val="toc 6"/>
    <w:basedOn w:val="660"/>
    <w:next w:val="660"/>
    <w:uiPriority w:val="39"/>
    <w:unhideWhenUsed/>
    <w:pPr>
      <w:pBdr/>
      <w:spacing w:after="100"/>
      <w:ind w:left="1100"/>
    </w:pPr>
  </w:style>
  <w:style w:type="paragraph" w:styleId="194">
    <w:name w:val="toc 7"/>
    <w:basedOn w:val="660"/>
    <w:next w:val="660"/>
    <w:uiPriority w:val="39"/>
    <w:unhideWhenUsed/>
    <w:pPr>
      <w:pBdr/>
      <w:spacing w:after="100"/>
      <w:ind w:left="1320"/>
    </w:pPr>
  </w:style>
  <w:style w:type="paragraph" w:styleId="195">
    <w:name w:val="toc 8"/>
    <w:basedOn w:val="660"/>
    <w:next w:val="660"/>
    <w:uiPriority w:val="39"/>
    <w:unhideWhenUsed/>
    <w:pPr>
      <w:pBdr/>
      <w:spacing w:after="100"/>
      <w:ind w:left="1540"/>
    </w:pPr>
  </w:style>
  <w:style w:type="paragraph" w:styleId="196">
    <w:name w:val="toc 9"/>
    <w:basedOn w:val="660"/>
    <w:next w:val="660"/>
    <w:uiPriority w:val="39"/>
    <w:unhideWhenUsed/>
    <w:pPr>
      <w:pBdr/>
      <w:spacing w:after="100"/>
      <w:ind w:left="1760"/>
    </w:pPr>
  </w:style>
  <w:style w:type="paragraph" w:styleId="206">
    <w:name w:val="TOC Heading"/>
    <w:uiPriority w:val="39"/>
    <w:unhideWhenUsed/>
    <w:pPr>
      <w:pBdr/>
      <w:spacing/>
      <w:ind/>
    </w:pPr>
  </w:style>
  <w:style w:type="paragraph" w:styleId="207">
    <w:name w:val="table of figures"/>
    <w:basedOn w:val="660"/>
    <w:next w:val="660"/>
    <w:uiPriority w:val="99"/>
    <w:unhideWhenUsed/>
    <w:pPr>
      <w:pBdr/>
      <w:spacing w:after="0" w:afterAutospacing="0"/>
      <w:ind/>
    </w:pPr>
  </w:style>
  <w:style w:type="paragraph" w:styleId="660" w:default="1">
    <w:name w:val="Normal"/>
    <w:uiPriority w:val="1"/>
    <w:qFormat/>
    <w:pPr>
      <w:pBdr/>
      <w:spacing/>
      <w:ind/>
    </w:pPr>
    <w:rPr>
      <w:rFonts w:ascii="Times New Roman" w:hAnsi="Times New Roman" w:eastAsia="Times New Roman" w:cs="Times New Roman"/>
      <w:lang w:val="pt-PT"/>
    </w:rPr>
  </w:style>
  <w:style w:type="character" w:styleId="661" w:default="1">
    <w:name w:val="Default Paragraph Font"/>
    <w:uiPriority w:val="1"/>
    <w:semiHidden/>
    <w:unhideWhenUsed/>
    <w:pPr>
      <w:pBdr/>
      <w:spacing/>
      <w:ind/>
    </w:pPr>
  </w:style>
  <w:style w:type="table" w:styleId="662" w:default="1">
    <w:name w:val="Normal Table"/>
    <w:uiPriority w:val="99"/>
    <w:semiHidden/>
    <w:unhideWhenUsed/>
    <w:qFormat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63" w:default="1">
    <w:name w:val="No List"/>
    <w:uiPriority w:val="99"/>
    <w:semiHidden/>
    <w:unhideWhenUsed/>
    <w:pPr>
      <w:pBdr/>
      <w:spacing/>
      <w:ind/>
    </w:pPr>
  </w:style>
  <w:style w:type="table" w:styleId="664" w:customStyle="1">
    <w:name w:val="Table Normal"/>
    <w:uiPriority w:val="2"/>
    <w:semiHidden/>
    <w:unhideWhenUsed/>
    <w:qFormat/>
    <w:pPr>
      <w:pBdr/>
      <w:spacing/>
      <w:ind/>
    </w:pPr>
    <w:tblPr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665">
    <w:name w:val="Body Text"/>
    <w:basedOn w:val="660"/>
    <w:uiPriority w:val="1"/>
    <w:qFormat/>
    <w:pPr>
      <w:pBdr/>
      <w:spacing/>
      <w:ind/>
    </w:pPr>
  </w:style>
  <w:style w:type="paragraph" w:styleId="666">
    <w:name w:val="Title"/>
    <w:basedOn w:val="660"/>
    <w:uiPriority w:val="1"/>
    <w:qFormat/>
    <w:pPr>
      <w:pBdr/>
      <w:spacing/>
      <w:ind w:right="10" w:left="10"/>
      <w:jc w:val="center"/>
    </w:pPr>
    <w:rPr>
      <w:b/>
      <w:bCs/>
      <w:sz w:val="24"/>
      <w:szCs w:val="24"/>
    </w:rPr>
  </w:style>
  <w:style w:type="paragraph" w:styleId="667">
    <w:name w:val="List Paragraph"/>
    <w:basedOn w:val="660"/>
    <w:uiPriority w:val="1"/>
    <w:qFormat/>
    <w:pPr>
      <w:pBdr/>
      <w:spacing/>
      <w:ind/>
    </w:pPr>
  </w:style>
  <w:style w:type="paragraph" w:styleId="668" w:customStyle="1">
    <w:name w:val="Table Paragraph"/>
    <w:basedOn w:val="660"/>
    <w:uiPriority w:val="1"/>
    <w:qFormat/>
    <w:pPr>
      <w:pBdr/>
      <w:spacing/>
      <w:ind/>
    </w:pPr>
  </w:style>
  <w:style w:type="paragraph" w:styleId="669">
    <w:name w:val="Balloon Text"/>
    <w:basedOn w:val="660"/>
    <w:link w:val="670"/>
    <w:uiPriority w:val="99"/>
    <w:semiHidden/>
    <w:unhideWhenUsed/>
    <w:pPr>
      <w:pBdr/>
      <w:spacing/>
      <w:ind/>
    </w:pPr>
    <w:rPr>
      <w:rFonts w:ascii="Tahoma" w:hAnsi="Tahoma" w:cs="Tahoma"/>
      <w:sz w:val="16"/>
      <w:szCs w:val="16"/>
    </w:rPr>
  </w:style>
  <w:style w:type="character" w:styleId="670" w:customStyle="1">
    <w:name w:val="Texto de balão Char"/>
    <w:basedOn w:val="661"/>
    <w:link w:val="669"/>
    <w:uiPriority w:val="99"/>
    <w:semiHidden/>
    <w:pPr>
      <w:pBdr/>
      <w:spacing/>
      <w:ind/>
    </w:pPr>
    <w:rPr>
      <w:rFonts w:ascii="Tahoma" w:hAnsi="Tahoma" w:eastAsia="Times New Roman" w:cs="Tahoma"/>
      <w:sz w:val="16"/>
      <w:szCs w:val="16"/>
      <w:lang w:val="pt-PT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ONLYOFFICE/8.3.3.21</Application>
  <DocSecurity>0</DocSecurity>
  <ScaleCrop>0</ScaleCrop>
  <HeadingPairs>
    <vt:vector size="0" baseType="variant"/>
  </HeadingPairs>
  <TitlesOfParts>
    <vt:vector size="0" baseType="lpstr"/>
  </TitlesOfParts>
  <Company>HP Inc.</Company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de Renúncia - Diárias e Passagens.odt</dc:title>
  <dc:creator>pra</dc:creator>
  <cp:revision>3</cp:revision>
  <dcterms:created xsi:type="dcterms:W3CDTF">2025-06-09T14:21:00Z</dcterms:created>
  <dcterms:modified xsi:type="dcterms:W3CDTF">2025-06-11T18:55:00Z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2023-08-10T00:00:00Z</vt:filetime>
  </property>
  <property fmtid="{D5CDD505-2E9C-101B-9397-08002B2CF9AE}" pid="3" name="LastSaved">
    <vt:filetime>2025-06-09T00:00:00Z</vt:filetime>
  </property>
  <property fmtid="{D5CDD505-2E9C-101B-9397-08002B2CF9AE}" pid="4" name="Producer">
    <vt:lpwstr>Microsoft: Print To PDF</vt:lpwstr>
  </property>
</Properties>
</file>