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00050" cy="542925"/>
            <wp:effectExtent l="0" t="0" r="0" b="0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UNIVERSIDADE FEDERAL DA PARAÍBA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EDITAL N° XX, DE 19 DE ABRIL DE 2018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PROCESSO SELETIVO SIMPLIFICADO PARA PROFESSOR SUBSTITUTO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CONTEÚDOS PROGRAMÁTICOS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733" w:type="dxa"/>
        <w:jc w:val="left"/>
        <w:tblInd w:w="-13" w:type="dxa"/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8733"/>
      </w:tblGrid>
      <w:tr>
        <w:trPr>
          <w:trHeight w:val="367" w:hRule="atLeast"/>
        </w:trPr>
        <w:tc>
          <w:tcPr>
            <w:tcW w:w="8733" w:type="dxa"/>
            <w:tcBorders/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CAMPUS I - JOÃO PESSOA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CCEN – CENTRO DE CIÊNCIAS EXATAS E DA NATUREZA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DBM -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BIOLOGIA MOLECULAR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eastAsia="Calibri" w:cs="Calibri" w:ascii="Times New Roman" w:hAnsi="Times New Roman" w:eastAsiaTheme="minorHAnsi"/>
                <w:b/>
                <w:bCs w:val="false"/>
                <w:caps/>
                <w:color w:val="00000A"/>
                <w:kern w:val="0"/>
                <w:sz w:val="24"/>
                <w:szCs w:val="24"/>
                <w:lang w:val="pt-BR" w:eastAsia="en-US" w:bidi="ar-SA"/>
              </w:rPr>
              <w:t>GENÉTICA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Estrutura do genôma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Replicação do material genético e sua regulação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Transcrição da informação genética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Tradução da informação genética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Regulação da expressão gênica em procariotos e eucariotos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Mutação e mecanismos de reparo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Estudos dos cromossomos (alteração numérica e estrutural)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Biologia molecular do desenvolvimento de invertebrados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Biologia molecular do desenvolvimento de vertebrados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Padrões Mendelianos de herança e interação alélica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Referências: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Wolpert, Lewis – Princípios de Biologia do Desenvolvimento, 3a edição, Artmed, 2008.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Lewin, Benjamin – Genes IX, 9a edição, Artmed, 2008.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Pierce, Benjamin A. – Genética – Um enfoque conceitual, 3a edição, 2016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CCHLA -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 xml:space="preserve"> CENTRO DE CIÊNCIAS HUMANAS, LETRAS E ARTES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dlem – departamento de LÍNGUAS Estrangeiras e modernas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ÁREA: LÍNGUA INGLESA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hd w:val="clear" w:fill="FFFFFF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Lucida Console"/>
                <w:color w:val="222222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222222"/>
                <w:sz w:val="24"/>
                <w:szCs w:val="24"/>
                <w:lang w:val="fr-FR"/>
              </w:rPr>
              <w:t>Conteúdo:</w:t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Lucida Console"/>
                <w:color w:val="222222"/>
                <w:sz w:val="24"/>
                <w:szCs w:val="24"/>
                <w:lang w:val="en-US"/>
              </w:rPr>
            </w:pPr>
            <w:r>
              <w:rPr>
                <w:rFonts w:cs="Lucida Console" w:ascii="Times New Roman" w:hAnsi="Times New Roman"/>
                <w:color w:val="222222"/>
                <w:sz w:val="24"/>
                <w:szCs w:val="24"/>
                <w:lang w:val="en-US"/>
              </w:rPr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Lucida Console"/>
                <w:color w:val="222222"/>
                <w:sz w:val="24"/>
                <w:szCs w:val="24"/>
                <w:lang w:val="en-US"/>
              </w:rPr>
            </w:pPr>
            <w:r>
              <w:rPr>
                <w:rFonts w:cs="Lucida Console" w:ascii="Times New Roman" w:hAnsi="Times New Roman"/>
                <w:color w:val="222222"/>
                <w:sz w:val="24"/>
                <w:szCs w:val="24"/>
                <w:lang w:val="en-US"/>
              </w:rPr>
              <w:t>1. The teaching of integrated language skills in the EFL classroom</w:t>
            </w:r>
          </w:p>
          <w:p>
            <w:pPr>
              <w:pStyle w:val="Corpodetexto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Lucida Console"/>
                <w:color w:val="222222"/>
                <w:sz w:val="24"/>
                <w:szCs w:val="24"/>
                <w:lang w:val="en-US"/>
              </w:rPr>
            </w:pPr>
            <w:r>
              <w:rPr>
                <w:rFonts w:cs="Lucida Console"/>
                <w:color w:val="222222"/>
                <w:sz w:val="24"/>
                <w:szCs w:val="24"/>
                <w:lang w:val="en-US"/>
              </w:rPr>
              <w:t>2. Pragmatic awareness in the context of EFL: towards discursive competence</w:t>
            </w:r>
          </w:p>
          <w:p>
            <w:pPr>
              <w:pStyle w:val="Corpodetexto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Lucida Console"/>
                <w:color w:val="222222"/>
                <w:sz w:val="24"/>
                <w:szCs w:val="24"/>
                <w:lang w:val="en-US"/>
              </w:rPr>
            </w:pPr>
            <w:r>
              <w:rPr>
                <w:rFonts w:cs="Lucida Console"/>
                <w:color w:val="222222"/>
                <w:sz w:val="24"/>
                <w:szCs w:val="24"/>
                <w:lang w:val="en-US"/>
              </w:rPr>
              <w:t>3. Multiliteracies and the teaching of English for Brazilian learners</w:t>
            </w:r>
          </w:p>
          <w:p>
            <w:pPr>
              <w:pStyle w:val="Corpodetexto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Lucida Console"/>
                <w:color w:val="222222"/>
                <w:sz w:val="24"/>
                <w:szCs w:val="24"/>
                <w:lang w:val="en-US"/>
              </w:rPr>
              <w:t>4. Teaching literature and critical literacy in EFL classes: new trends and perspectives</w:t>
            </w:r>
          </w:p>
          <w:p>
            <w:pPr>
              <w:pStyle w:val="Corpodetexto"/>
              <w:shd w:val="clear" w:fill="FFFFFF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Lucida Console"/>
                <w:color w:val="222222"/>
                <w:sz w:val="24"/>
                <w:szCs w:val="24"/>
                <w:lang w:val="en-US"/>
              </w:rPr>
              <w:t>5. English teaching in regular schools: national and state references and guideline</w:t>
            </w:r>
            <w:r>
              <w:rPr>
                <w:rFonts w:cs="Helvetica;Arial"/>
                <w:color w:val="222222"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Lucida Console"/>
                <w:b w:val="false"/>
                <w:b w:val="false"/>
                <w:bCs w:val="false"/>
                <w:color w:val="222222"/>
                <w:sz w:val="24"/>
                <w:szCs w:val="24"/>
                <w:lang w:val="en-US"/>
              </w:rPr>
            </w:pPr>
            <w:r>
              <w:rPr>
                <w:rFonts w:cs="Lucida Console" w:ascii="Times New Roman" w:hAnsi="Times New Roman"/>
                <w:b w:val="false"/>
                <w:bCs w:val="false"/>
                <w:color w:val="222222"/>
                <w:sz w:val="24"/>
                <w:szCs w:val="24"/>
                <w:lang w:val="en-US"/>
              </w:rPr>
              <w:t>6. Fostering intercultural communication and critical awareness in the EFL classroom.</w:t>
            </w:r>
          </w:p>
          <w:p>
            <w:pPr>
              <w:pStyle w:val="Normal"/>
              <w:shd w:val="clear" w:fill="FFFFFF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Referências: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DLCV - </w:t>
            </w:r>
            <w:bookmarkStart w:id="0" w:name="__DdeLink__655_56610489"/>
            <w:bookmarkEnd w:id="0"/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LETRAS CLÁSSICAS E VERNÁCULAS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aps/>
                <w:color w:val="00000A"/>
                <w:kern w:val="2"/>
                <w:sz w:val="24"/>
                <w:szCs w:val="24"/>
                <w:lang w:val="pt-BR" w:eastAsia="en-US" w:bidi="hi-IN"/>
              </w:rPr>
              <w:t>LÍNGUA PORTUGUESA E ENSINO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PargrafodaLista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 SER FORNECIDO PELO PRÓPRIO DEPARTAMENTO.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DCS -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CIÊNCIAS SOCIAIS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ÁREA: CIÊNCIAS SOCIAIS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rpodetexto"/>
              <w:widowControl/>
              <w:numPr>
                <w:ilvl w:val="0"/>
                <w:numId w:val="0"/>
              </w:numPr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Calibri"/>
                <w:sz w:val="24"/>
                <w:szCs w:val="24"/>
                <w:lang w:val="pt-BR"/>
              </w:rPr>
              <w:t>1. Formação do Estado moderno</w:t>
            </w:r>
          </w:p>
          <w:p>
            <w:pPr>
              <w:pStyle w:val="Corpodetexto"/>
              <w:widowControl/>
              <w:numPr>
                <w:ilvl w:val="0"/>
                <w:numId w:val="0"/>
              </w:numPr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2. Estado, desigualdade e democracia</w:t>
            </w:r>
          </w:p>
          <w:p>
            <w:pPr>
              <w:pStyle w:val="Corpodetexto"/>
              <w:widowControl/>
              <w:numPr>
                <w:ilvl w:val="0"/>
                <w:numId w:val="0"/>
              </w:numPr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cs="Calibri"/>
                <w:sz w:val="24"/>
                <w:szCs w:val="24"/>
                <w:lang w:val="pt-BR"/>
              </w:rPr>
              <w:t>3. Perspectivas teóricas na Sociologia Clássica</w:t>
            </w:r>
          </w:p>
          <w:p>
            <w:pPr>
              <w:pStyle w:val="Corpodetexto"/>
              <w:widowControl/>
              <w:numPr>
                <w:ilvl w:val="0"/>
                <w:numId w:val="0"/>
              </w:numPr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Calibri"/>
                <w:sz w:val="24"/>
                <w:szCs w:val="24"/>
                <w:lang w:val="pt-BR"/>
              </w:rPr>
            </w:pPr>
            <w:r>
              <w:rPr>
                <w:rFonts w:eastAsia="Calibri" w:cs="Calibri"/>
                <w:sz w:val="24"/>
                <w:szCs w:val="24"/>
                <w:lang w:val="pt-BR" w:eastAsia="en-US"/>
              </w:rPr>
              <w:t>4. Métodos de Pesquisa nas Ciências Sociais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Style w:val="LinkdaInternet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ascii="Times New Roman" w:hAnsi="Times New Roman"/>
                <w:color w:val="000000"/>
                <w:sz w:val="24"/>
                <w:szCs w:val="24"/>
                <w:u w:val="none"/>
              </w:rPr>
              <w:t>NÃO HÁ REFERÊNCIAS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CCS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CENTRO DE CIÊNCIAS DA SAÚDE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DFP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FISIOLOGIA E PATOLOGIA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FISIOLOGIA HUMANA / FISIOLOGIA DO EXERCÍCIO / NEUROFISIOLOGIA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1. Homeostasia comunicação celular e vias de transduções de sinais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2. Potenciais Bioelétricos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3.</w:t>
            </w:r>
            <w:r>
              <w:rPr>
                <w:rFonts w:cs="Arial" w:ascii="Times New Roman" w:hAnsi="Times New Roman"/>
                <w:color w:val="00B0F0"/>
                <w:sz w:val="24"/>
                <w:szCs w:val="24"/>
              </w:rPr>
              <w:t xml:space="preserve"> </w:t>
            </w:r>
            <w:r>
              <w:rPr>
                <w:rFonts w:cs="Arial" w:ascii="Times New Roman" w:hAnsi="Times New Roman"/>
                <w:sz w:val="24"/>
                <w:szCs w:val="24"/>
              </w:rPr>
              <w:t>Sistema somatossensorial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4. Fisiologia Muscular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5. Sistema Nervoso Autônomo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6. Pressão arterial e sua regulação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7. Fisiologia do sistema respiratório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8. Fisiologia do sistema renal: formação e processamento da urina.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9. Fisiologia do sistema digestório: Motilidade e secreções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10. Fisiologia do eixo Hipotálamo-Hipófise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11. Respostas cardiorrespiratórias ao exercício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Style w:val="LinkdaInternet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  <w:lang w:val="en-US"/>
              </w:rPr>
              <w:t>BERNE, Robert M et al.</w:t>
            </w:r>
            <w:r>
              <w:rPr>
                <w:rFonts w:cs="Arial" w:ascii="Times New Roman" w:hAnsi="Times New Roman"/>
                <w:sz w:val="24"/>
                <w:szCs w:val="24"/>
                <w:shd w:fill="F6F6F6" w:val="clear"/>
                <w:lang w:val="en-US"/>
              </w:rPr>
              <w:t> </w:t>
            </w:r>
            <w:r>
              <w:rPr>
                <w:rStyle w:val="Strong"/>
                <w:rFonts w:cs="Arial" w:ascii="Times New Roman" w:hAnsi="Times New Roman"/>
                <w:sz w:val="24"/>
                <w:szCs w:val="24"/>
              </w:rPr>
              <w:t>Fisiologia</w:t>
            </w:r>
            <w:r>
              <w:rPr>
                <w:rFonts w:cs="Arial" w:ascii="Times New Roman" w:hAnsi="Times New Roman"/>
                <w:sz w:val="24"/>
                <w:szCs w:val="24"/>
              </w:rPr>
              <w:t>. 5.ed.. Rio de Janeiro: Elsevier, 2004. 1082p. ISBN: 9788535213676.</w:t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Times New Roman" w:hAnsi="Times New Roman"/>
                <w:sz w:val="24"/>
                <w:szCs w:val="24"/>
                <w:shd w:fill="FFFFFF" w:val="clear"/>
              </w:rPr>
              <w:t>CURI, Rui; ARAÚJO FILHO, Joaquim p. de. </w:t>
            </w:r>
            <w:r>
              <w:rPr>
                <w:rStyle w:val="Strong"/>
                <w:rFonts w:cs="Arial" w:ascii="Times New Roman" w:hAnsi="Times New Roman"/>
                <w:sz w:val="24"/>
                <w:szCs w:val="24"/>
              </w:rPr>
              <w:t>Fisiologia básica</w:t>
            </w:r>
            <w:r>
              <w:rPr>
                <w:rFonts w:cs="Arial" w:ascii="Times New Roman" w:hAnsi="Times New Roman"/>
                <w:sz w:val="24"/>
                <w:szCs w:val="24"/>
                <w:shd w:fill="FFFFFF" w:val="clear"/>
              </w:rPr>
              <w:t>. Rio de Janeiro: Guanabara Koogan, 2009. 857 p. ISBN: 9788527715591.</w:t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Arial"/>
                <w:sz w:val="24"/>
                <w:szCs w:val="24"/>
                <w:highlight w:val="white"/>
              </w:rPr>
            </w:pPr>
            <w:r>
              <w:rPr>
                <w:rFonts w:cs="Arial"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Corpodetextorecuado"/>
              <w:tabs>
                <w:tab w:val="left" w:pos="255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/>
                <w:sz w:val="24"/>
                <w:szCs w:val="24"/>
                <w:shd w:fill="FFFFFF" w:val="clear"/>
              </w:rPr>
              <w:t>AIRES, Margarida de Mello. </w:t>
            </w:r>
            <w:r>
              <w:rPr>
                <w:rStyle w:val="Strong"/>
                <w:rFonts w:cs="Arial"/>
                <w:sz w:val="24"/>
                <w:szCs w:val="24"/>
              </w:rPr>
              <w:t>Fisiologia</w:t>
            </w:r>
            <w:r>
              <w:rPr>
                <w:rFonts w:cs="Arial"/>
                <w:sz w:val="24"/>
                <w:szCs w:val="24"/>
                <w:shd w:fill="FFFFFF" w:val="clear"/>
              </w:rPr>
              <w:t>. 4.ed. Rio de Janeiro: Guanabara Koogan, c2012. 1335p. ISBN: 9788527721004.</w:t>
            </w:r>
          </w:p>
          <w:p>
            <w:pPr>
              <w:pStyle w:val="Corpodetextorecuado"/>
              <w:tabs>
                <w:tab w:val="left" w:pos="2552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Arial" w:ascii="Times New Roman" w:hAnsi="Times New Roman"/>
                <w:sz w:val="24"/>
                <w:szCs w:val="24"/>
                <w:shd w:fill="FFFFFF" w:val="clear"/>
              </w:rPr>
              <w:t>SILVERTHORN, Dee Unglaub; JOHNSON, Bruce R; SILVERTHORN, Andrew C. </w:t>
            </w:r>
            <w:r>
              <w:rPr>
                <w:rStyle w:val="Strong"/>
                <w:rFonts w:cs="Arial" w:ascii="Times New Roman" w:hAnsi="Times New Roman"/>
                <w:sz w:val="24"/>
                <w:szCs w:val="24"/>
              </w:rPr>
              <w:t>Fisiologia humana</w:t>
            </w:r>
            <w:r>
              <w:rPr>
                <w:rFonts w:cs="Arial" w:ascii="Times New Roman" w:hAnsi="Times New Roman"/>
                <w:sz w:val="24"/>
                <w:szCs w:val="24"/>
                <w:shd w:fill="FFFFFF" w:val="clear"/>
              </w:rPr>
              <w:t>: uma abordagem integrada. 5.ed. Porto Alegre: Artmed, 2017. 960p. ISBN: 9788582714034.</w:t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Arial"/>
                <w:sz w:val="24"/>
                <w:szCs w:val="24"/>
                <w:highlight w:val="white"/>
              </w:rPr>
            </w:pPr>
            <w:r>
              <w:rPr>
                <w:rFonts w:cs="Arial"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Normal"/>
              <w:tabs>
                <w:tab w:val="left" w:pos="146" w:leader="none"/>
                <w:tab w:val="left" w:pos="19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Arial"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>HALL, john E; GUYTON, Arthur C.. </w:t>
            </w:r>
            <w:r>
              <w:rPr>
                <w:rStyle w:val="Strong"/>
                <w:rFonts w:cs="Arial" w:ascii="Times New Roman" w:hAnsi="Times New Roman"/>
                <w:color w:val="000000"/>
                <w:sz w:val="24"/>
                <w:szCs w:val="24"/>
                <w:u w:val="none"/>
              </w:rPr>
              <w:t>Tratado de Fisiologia Médica</w:t>
            </w:r>
            <w:r>
              <w:rPr>
                <w:rStyle w:val="LinkdaInternet"/>
                <w:rFonts w:cs="Arial" w:ascii="Times New Roman" w:hAnsi="Times New Roman"/>
                <w:color w:val="000000"/>
                <w:sz w:val="24"/>
                <w:szCs w:val="24"/>
                <w:u w:val="none"/>
              </w:rPr>
              <w:t>. 13.ed. Rio de Janeiro: Elsevier, 2017. 1145 p. ISBN: 9788535262858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PATOLOGIA GERAL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1. Inflamações aguda e crônica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fill="FFFFFF" w:val="clear"/>
              </w:rPr>
              <w:t>2. Mecanismos de Reparo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3. Degenerações celulares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4. Mecanismos de morte celular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5. Pigmentações Patológicas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6. Calcificações patológicas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7. Distúrbios circulatórios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8. Distúrbios do crescimento celular não-neoplásico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9. Carcinogênese</w:t>
            </w:r>
          </w:p>
          <w:p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222222"/>
                <w:sz w:val="24"/>
                <w:szCs w:val="24"/>
              </w:rPr>
              <w:t>10. Neoplasias benignas e malignas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KUMAR, V; ABBAS, A. K; FAUSTO, N.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Robbins &amp; Cotran:Patologia -Bases Patológicas das Doenças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ª ed. Rio de Janeiro: Elsevier, 2010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BRASILEIRO-FILHO, G.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Bogliolo- Patologia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 7</w:t>
            </w:r>
            <w:r>
              <w:rPr>
                <w:rFonts w:ascii="Times New Roman" w:hAnsi="Times New Roman"/>
                <w:sz w:val="24"/>
                <w:szCs w:val="24"/>
              </w:rPr>
              <w:t>ª ed. Rio de Janeiro: Guanabara Koogan, 2009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ANDRADE, BARRETO NETO, BRITO, MONTENEGRO.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Patologia Processos Gerais</w:t>
            </w:r>
            <w:r>
              <w:rPr>
                <w:rFonts w:ascii="Times New Roman" w:hAnsi="Times New Roman"/>
                <w:sz w:val="24"/>
                <w:szCs w:val="24"/>
              </w:rPr>
              <w:t>. 3ª ed. Rio de Janeiro: Atheneu, 1992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RUBIN, R; FARBER, JL.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Patologia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3ª ed.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Rio de Janeiro: Guanabara Koogan, 2002.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CCTA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CENTRO DE COMUNICAÇÃO, TURISMO E ARTES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DEM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EDUCAÇÃO MUSICAL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CANTO POPULAR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1. A interpretação e a técnica vocal na música popular brasileira em diferentes gêneros, estilos e períodos: características e estratégias metodológicas.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Pesquisa e metodologias de ensino do canto popular no Brasil: tendências atuais e  possibilidades de aplicação em sala de aula.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Fisiologia da voz e suas implicações técnicas e interpretativas no ensino do canto popular.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4. Leitura e transcrição musical no ensino do canto popular: metodologias e aplicações.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 Exercícios para o ensino do canto popular: descrição, objetivo dos exercícios, aspectos técnicos trabalhados e adaptações possíveis.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EDUCAÇÃO MUSICAL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O ensino de música na escola de educação básica: concepções, conteúdos e possibilidades metodológicas.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O estágio supervisionado em distintos espaços socioeducacionais: características, metodologias e relevância para a atuação e formação do licenciando de música.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Planejamento e avaliação na prática de ensino de música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A pesquisa em ensino de instrumento e suas inter-relações com a ação pedagógica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5. </w:t>
            </w:r>
            <w:r>
              <w:rPr>
                <w:b w:val="false"/>
                <w:bCs w:val="false"/>
                <w:sz w:val="24"/>
                <w:szCs w:val="24"/>
                <w:shd w:fill="FEFFFF" w:val="clear"/>
              </w:rPr>
              <w:t>A produção de conhecimento em educação musical e suas inter-relações com a ação pedagógica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CTDR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CENTRO DE TECNOLOGIA E DESENVOLVIMENTO REGIONAL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DG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DEPARTAMENTO DE GASTRONOMIA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CONFEITARIA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Massas básicas da confeitaria;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Técnicas de preparo de sorvetes e sobremesas congeladas;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Chocolate: Técnicas de manipulação;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 Marzipã, pastilhagem em nougatine;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 Técnicas de Manipulação de açúcar;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 Coquetelaria;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 Harmonização de Bebidas e Alimentos;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 Métodos de Fabricação de Vinhos e principais regiões vinícolas do mundo;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 Avaliação das características organolépticas do vinho;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 Princípios básicos da Enogastronomia;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GASTRONOMIA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 História da alimentação e da gstronomia;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Planejamento físico e operacional do setor de alimentos e bebidas;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 Oerganização das brigadas: organograma funcional, atribuições e rsponsabilidades;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 Produção culinária: seleção e processamento dos alimentos;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 Características organolépticas dos alimentos e métodos de conservação;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 Planejamento e elaboração de cardápios;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 Tipologia e história da restauração;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 Organização do trabalho no bar e restaurante;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 Setor de A e B no planejamento de eventos;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 Programas de Gestão de Qualidade no setor de A e 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CCAE – </w:t>
            </w:r>
            <w:r>
              <w:rPr>
                <w:rFonts w:eastAsia="Calibri" w:cs="Calibri" w:ascii="Times New Roman" w:hAnsi="Times New Roman"/>
                <w:b/>
                <w:caps/>
                <w:sz w:val="24"/>
                <w:szCs w:val="24"/>
                <w:lang w:val="pt-BR"/>
              </w:rPr>
              <w:t>CENTRO DE CIÊNCIAS APLICADAS E EDUCAÇÃO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DCSA – DEPARTAMENTO DE CIÊNCIAS SOCIAIS APLICADAS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Style w:val="Nenhum"/>
                <w:rFonts w:ascii="Times New Roman" w:hAnsi="Times New Roman" w:cs="Times New Roman"/>
                <w:b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ÁREA: </w:t>
            </w:r>
            <w:r>
              <w:rPr>
                <w:rStyle w:val="Nenhum"/>
                <w:rFonts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SECRETARIADO EXECUTIVO</w:t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Gestão e planejamento de eventos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Histórico geral e contemporâneo da profissão de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Assessoria em reuniões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Gestão de arquivos e documentação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 Consultoria em Secretariado Executivo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O Secretário Executivo como empreendedor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Comunicação e marketing em eventos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 Desafios e oportunidades da docência em Secretariado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 Questões éticas na atuação do Secretário Executivo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 Atribuições do Secretário Executivo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33" w:type="dxa"/>
            <w:tcBorders>
              <w:top w:val="nil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NÃO HÁ REFERÊNCIAS.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765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>Publicado no DOU nº XX, de XX/XX/2018, Seção 03, págs. XX a XX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18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qFormat/>
    <w:pPr>
      <w:widowControl/>
      <w:numPr>
        <w:ilvl w:val="4"/>
        <w:numId w:val="1"/>
      </w:numPr>
      <w:bidi w:val="0"/>
      <w:jc w:val="left"/>
      <w:outlineLvl w:val="4"/>
    </w:pPr>
    <w:rPr>
      <w:rFonts w:cs="Arial Unicode MS"/>
      <w:color w:val="000000"/>
      <w:u w:val="none" w:color="000000"/>
      <w:lang w:val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lineRule="auto" w:line="240" w:before="240" w:after="60"/>
      <w:outlineLvl w:val="5"/>
    </w:pPr>
    <w:rPr>
      <w:rFonts w:ascii="Calibri" w:hAnsi="Calibri" w:eastAsia="Times New Roman" w:cs="Times New Roman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d18af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752b7e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df2dce"/>
    <w:rPr>
      <w:rFonts w:ascii="Times New Roman" w:hAnsi="Times New Roman" w:eastAsia="Times New Roman" w:cs="Times New Roman"/>
      <w:sz w:val="24"/>
      <w:szCs w:val="20"/>
    </w:rPr>
  </w:style>
  <w:style w:type="character" w:styleId="LinkdaInternet">
    <w:name w:val="Link da Internet"/>
    <w:uiPriority w:val="99"/>
    <w:unhideWhenUsed/>
    <w:rsid w:val="00df2dce"/>
    <w:rPr>
      <w:color w:val="0563C1"/>
      <w:u w:val="single"/>
    </w:rPr>
  </w:style>
  <w:style w:type="character" w:styleId="Ttulo6Char" w:customStyle="1">
    <w:name w:val="Título 6 Char"/>
    <w:basedOn w:val="DefaultParagraphFont"/>
    <w:link w:val="Ttulo6"/>
    <w:uiPriority w:val="9"/>
    <w:qFormat/>
    <w:rsid w:val="004f2429"/>
    <w:rPr>
      <w:rFonts w:ascii="Calibri" w:hAnsi="Calibri" w:eastAsia="Times New Roman" w:cs="Times New Roman"/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f4b9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" w:customStyle="1">
    <w:name w:val="a"/>
    <w:qFormat/>
    <w:rsid w:val="002f4b90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f4b90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f4b90"/>
    <w:rPr/>
  </w:style>
  <w:style w:type="character" w:styleId="Strong">
    <w:name w:val="Strong"/>
    <w:qFormat/>
    <w:rsid w:val="00625207"/>
    <w:rPr>
      <w:b/>
      <w:bCs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7668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Object" w:customStyle="1">
    <w:name w:val="object"/>
    <w:qFormat/>
    <w:rsid w:val="000430d9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Times New Roman"/>
      <w:sz w:val="18"/>
      <w:szCs w:val="18"/>
    </w:rPr>
  </w:style>
  <w:style w:type="character" w:styleId="ListLabel11">
    <w:name w:val="ListLabel 11"/>
    <w:qFormat/>
    <w:rPr>
      <w:rFonts w:cs="Calibri"/>
      <w:b w:val="false"/>
      <w:szCs w:val="22"/>
      <w:lang w:eastAsia="en-US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eastAsia="Times New Roman" w:cs="Arial"/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eastAsia="Times New Roman" w:cs="Arial"/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WW8Num11z0">
    <w:name w:val="WW8Num11z0"/>
    <w:qFormat/>
    <w:rPr>
      <w:rFonts w:ascii="Calibri" w:hAnsi="Calibri" w:cs="Calibri"/>
      <w:b/>
      <w:szCs w:val="24"/>
      <w:lang w:val="pt-B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A5">
    <w:name w:val="A5"/>
    <w:qFormat/>
    <w:rPr>
      <w:rFonts w:cs="Minion;Minion"/>
      <w:color w:val="000000"/>
      <w:sz w:val="16"/>
      <w:szCs w:val="16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mbolosdenumerao">
    <w:name w:val="Símbolos de numeração"/>
    <w:qFormat/>
    <w:rPr/>
  </w:style>
  <w:style w:type="character" w:styleId="Nenhum">
    <w:name w:val="Nenhum"/>
    <w:qFormat/>
    <w:rPr/>
  </w:style>
  <w:style w:type="character" w:styleId="WW8Num1z0">
    <w:name w:val="WW8Num1z0"/>
    <w:qFormat/>
    <w:rPr>
      <w:lang w:val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59">
    <w:name w:val="ListLabel 59"/>
    <w:qFormat/>
    <w:rPr>
      <w:lang w:val="pt-BR"/>
    </w:rPr>
  </w:style>
  <w:style w:type="character" w:styleId="WW8Num2z0">
    <w:name w:val="WW8Num2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df2dce"/>
    <w:pPr>
      <w:tabs>
        <w:tab w:val="left" w:pos="709" w:leader="none"/>
      </w:tabs>
      <w:spacing w:lineRule="auto" w:line="312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Normal"/>
    <w:rsid w:val="000430d9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d18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9ac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52b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8621397975" w:customStyle="1">
    <w:name w:val="yiv8621397975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3169250537msonormal" w:customStyle="1">
    <w:name w:val="yiv3169250537msonormal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024de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ault" w:customStyle="1">
    <w:name w:val="Default"/>
    <w:qFormat/>
    <w:rsid w:val="008910d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5a362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2"/>
      <w:sz w:val="22"/>
      <w:szCs w:val="22"/>
      <w:lang w:val="pt-BR" w:eastAsia="en-US" w:bidi="ar-SA"/>
    </w:rPr>
  </w:style>
  <w:style w:type="paragraph" w:styleId="Corpodetextorecuado">
    <w:name w:val="Body Text Indent"/>
    <w:basedOn w:val="Normal"/>
    <w:link w:val="RecuodecorpodetextoChar"/>
    <w:rsid w:val="00276689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msonormal" w:customStyle="1">
    <w:name w:val="x_msonormal"/>
    <w:basedOn w:val="Normal"/>
    <w:qFormat/>
    <w:rsid w:val="002766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aColoridanfase11" w:customStyle="1">
    <w:name w:val="Lista Colorida - Ênfase 11"/>
    <w:basedOn w:val="Normal"/>
    <w:qFormat/>
    <w:rsid w:val="00731c3a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Western" w:customStyle="1">
    <w:name w:val="western"/>
    <w:basedOn w:val="Normal"/>
    <w:qFormat/>
    <w:rsid w:val="000430d9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cuodecorpodetexto21" w:customStyle="1">
    <w:name w:val="Recuo de corpo de texto 21"/>
    <w:basedOn w:val="Normal"/>
    <w:qFormat/>
    <w:rsid w:val="000430d9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" w:customStyle="1">
    <w:name w:val="Corpo"/>
    <w:qFormat/>
    <w:rsid w:val="005c0526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BR" w:eastAsia="pt-BR" w:bidi="ar-SA"/>
    </w:rPr>
  </w:style>
  <w:style w:type="paragraph" w:styleId="M4002919221184579479msolistparagraph" w:customStyle="1">
    <w:name w:val="m_4002919221184579479msolistparagraph"/>
    <w:basedOn w:val="Normal"/>
    <w:qFormat/>
    <w:rsid w:val="00f35b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7781821938msonormal" w:customStyle="1">
    <w:name w:val="yiv7781821938msonormal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Yiv7781821938gmailmsobodytextindent3" w:customStyle="1">
    <w:name w:val="yiv7781821938gmail-msobodytextindent3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Pa5">
    <w:name w:val="Pa5"/>
    <w:basedOn w:val="Normal"/>
    <w:next w:val="Normal"/>
    <w:qFormat/>
    <w:pPr>
      <w:spacing w:lineRule="atLeast" w:line="241"/>
    </w:pPr>
    <w:rPr>
      <w:rFonts w:ascii="Minion;Minion" w:hAnsi="Minion;Minion" w:eastAsia="Calibri" w:cs="Minion;Minion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meros" w:customStyle="1">
    <w:name w:val="Números"/>
    <w:qFormat/>
    <w:rsid w:val="00b91604"/>
  </w:style>
  <w:style w:type="numbering" w:styleId="WW8Num11">
    <w:name w:val="WW8Num11"/>
    <w:qFormat/>
  </w:style>
  <w:style w:type="numbering" w:styleId="WW8Num15">
    <w:name w:val="WW8Num15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13">
    <w:name w:val="WW8Num13"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LibreOffice/5.4.4.2$Windows_x86 LibreOffice_project/2524958677847fb3bb44820e40380acbe820f960</Application>
  <Pages>5</Pages>
  <Words>1030</Words>
  <Characters>6204</Characters>
  <CharactersWithSpaces>7105</CharactersWithSpaces>
  <Paragraphs>154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2017-10-10T11:53:00Z</dcterms:created>
  <dc:creator>DSP100</dc:creator>
  <dc:description/>
  <dc:language>pt-BR</dc:language>
  <cp:lastModifiedBy/>
  <cp:lastPrinted>2017-12-05T11:48:00Z</cp:lastPrinted>
  <dcterms:modified xsi:type="dcterms:W3CDTF">2018-04-19T12:30:18Z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