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PAGINA DA COMISSÃO DE BIOSSEGURANÇA DO CCEN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bookmarkStart w:id="0" w:name="__DdeLink__1301_2647456877"/>
      <w:r>
        <w:rPr>
          <w:rFonts w:ascii="Arial" w:hAnsi="Arial"/>
          <w:sz w:val="28"/>
          <w:szCs w:val="28"/>
        </w:rPr>
        <w:t>FUNÇÃO DA COMISSÃO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</w:rPr>
        <w:t xml:space="preserve">A comissão de biossegurança do CCEN tem como objetivo auxiliar no retorno de atividades presenciais de pesquisa e administrativas de forma segura em meio a pandemia de COVID-19. Ela analisa e recomenda adequações nos protocolos de biossegurança internos para prevenção de COVID-19 dos setores solicitantes conforme estabelecido pelo </w:t>
      </w:r>
      <w:hyperlink r:id="rId2">
        <w:r>
          <w:rPr>
            <w:rStyle w:val="LinkdaInternet"/>
            <w:rFonts w:ascii="Arial" w:hAnsi="Arial"/>
          </w:rPr>
          <w:t>Plano UFPB para retorno gradual das atividades presenciais</w:t>
        </w:r>
      </w:hyperlink>
      <w:r>
        <w:rPr>
          <w:rFonts w:ascii="Arial" w:hAnsi="Arial"/>
        </w:rPr>
        <w:t xml:space="preserve">. Ela é composta por representantes de cada departamento do CCEN (link para a seção membros).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FUNCIONAMENTO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Os protocolos de biossegurança são avaliados semanalmente pela comissão em reunião as quartas-feiras pela manhã.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Esta avaliação pode incluir solicitações de esclarecimentos e visitas aos espaços.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Se considerados adequados, a comissão emite uma “Certidão de aprovação de protocolo de retomada das atividades de pesquisa e administrativas” cujo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parecer pode ser favorável ou favorável com adequações.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Após recepção do parecer emitido pela Comissão (através do email biossegccen@gmail.com) endereçado ao email indicado pelo solicitante no formulário,</w:t>
      </w:r>
      <w:r>
        <w:rPr>
          <w:rFonts w:ascii="Arial" w:hAnsi="Arial"/>
        </w:rPr>
        <w:t xml:space="preserve"> os espaços são considerados adequados em termos de biossegurança quanto à prevenção de COVID-19 para retomada de atividades.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A lista das solicitações aprovadas se encontra disponível para download AQUI (link para o download do arquivo PDF)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COMO SOLICITAR UM PARECER?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Coordenadores de laboratórios e espaços administrativos devem solicitar autorização para retomada das atividades mediante apresentação dos seguintes documentos: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" w:hAnsi="Arial"/>
        </w:rPr>
        <w:t xml:space="preserve">1.  Preenchimento do </w:t>
      </w:r>
      <w:hyperlink r:id="rId3">
        <w:r>
          <w:rPr>
            <w:rStyle w:val="LinkdaInternet"/>
            <w:rFonts w:ascii="Arial" w:hAnsi="Arial"/>
          </w:rPr>
          <w:t>formulário de solicitação de reabertura</w:t>
        </w:r>
      </w:hyperlink>
      <w:r>
        <w:rPr>
          <w:rFonts w:ascii="Arial" w:hAnsi="Arial"/>
        </w:rPr>
        <w:t xml:space="preserve"> do CCEN no final do qual devem ser anexados os dois documentos seguintes:</w:t>
      </w:r>
    </w:p>
    <w:p>
      <w:pPr>
        <w:pStyle w:val="Normal"/>
        <w:jc w:val="both"/>
        <w:rPr>
          <w:rFonts w:ascii="LM Sans 12" w:hAnsi="LM Sans 12"/>
        </w:rPr>
      </w:pPr>
      <w:r>
        <w:rPr>
          <w:rFonts w:ascii="LM Sans 12" w:hAnsi="LM Sans 12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a. Termo de solicitação de autorização para retomada das atividades</w:t>
      </w:r>
    </w:p>
    <w:p>
      <w:pPr>
        <w:pStyle w:val="Normal"/>
        <w:jc w:val="both"/>
        <w:rPr/>
      </w:pPr>
      <w:r>
        <w:rPr>
          <w:rFonts w:ascii="Arial" w:hAnsi="Arial"/>
        </w:rPr>
        <w:t xml:space="preserve">laboratoriais de pesquisa durante pandemia (Apêndice A do </w:t>
      </w:r>
      <w:hyperlink r:id="rId4">
        <w:r>
          <w:rPr>
            <w:rStyle w:val="LinkdaInternet"/>
            <w:rFonts w:ascii="Arial" w:hAnsi="Arial"/>
          </w:rPr>
          <w:t>Plano</w:t>
        </w:r>
      </w:hyperlink>
      <w:r>
        <w:rPr>
          <w:rFonts w:ascii="Arial" w:hAnsi="Arial"/>
        </w:rPr>
        <w:t>);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b. Protocolo de biossegurança do laboratório, de acordo com as diretrizes estabelecidas no plano de retomada da UFPB.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No ato da submissão </w:t>
      </w:r>
      <w:r>
        <w:rPr>
          <w:rFonts w:ascii="Arial" w:hAnsi="Arial"/>
          <w:color w:val="000000"/>
        </w:rPr>
        <w:t>os Equipamentos de Proteção Individual (EPI’s), Equipamentos de Proteção Coletiva (EPC’s),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 xml:space="preserve">sinalizações e fluxos devem estar instalados e testados uma vez que a aprovação autoriza a abertura imediata do espaço. </w:t>
      </w:r>
    </w:p>
    <w:p>
      <w:pPr>
        <w:pStyle w:val="Normal"/>
        <w:jc w:val="both"/>
        <w:rPr>
          <w:rFonts w:ascii="LM Sans 12" w:hAnsi="LM Sans 12"/>
        </w:rPr>
      </w:pPr>
      <w:r>
        <w:rPr>
          <w:rFonts w:ascii="LM Sans 12" w:hAnsi="LM Sans 12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LM Sans 12" w:hAnsi="LM Sans 12"/>
        </w:rPr>
        <w:t>AGENDA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 comissão se reúne semanalmente as quartas-feiras pela manhã</w:t>
      </w:r>
      <w:r>
        <w:rPr>
          <w:rFonts w:ascii="Arial" w:hAnsi="Arial"/>
        </w:rPr>
        <w:t xml:space="preserve"> para analisar os pedidos realizados pelo preenchimento do </w:t>
      </w:r>
      <w:hyperlink r:id="rId5">
        <w:r>
          <w:rPr>
            <w:rStyle w:val="LinkdaInternet"/>
            <w:rFonts w:ascii="Arial" w:hAnsi="Arial"/>
          </w:rPr>
          <w:t>formulário de solicitação de reabertura</w:t>
        </w:r>
      </w:hyperlink>
      <w:r>
        <w:rPr>
          <w:rFonts w:ascii="Arial" w:hAnsi="Arial"/>
        </w:rPr>
        <w:t xml:space="preserve">, e deliberar sobre procedimentos e comunicados. </w:t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</w:rPr>
        <w:t>Devido ao recesso de fim de ano e férias, a próxima reunião ocorrerá em 27/01/2021.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CUIDADOS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Atividades de retorno não autorizadas e seus riscos decorrentes devem ser evitadas.</w:t>
      </w:r>
      <w:r>
        <w:rPr>
          <w:rFonts w:ascii="Arial" w:hAnsi="Arial"/>
        </w:rPr>
        <w:t xml:space="preserve">  Os responsáveis pelos espaços, coordenadores de curso e chefes de departamento devem estar cientes dos riscos sanitários decorrentes de atividades com protocolos de biossegurança não avaliados.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As chefias de departamento e coordenações de curso tem um papel importante na redução de riscos de transmissão de COVID-19 especialmente em locais de uso comum como banheiros, copas e áreas comuns</w:t>
      </w:r>
      <w:r>
        <w:rPr>
          <w:rFonts w:ascii="Arial" w:hAnsi="Arial"/>
        </w:rPr>
        <w:t xml:space="preserve">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MATERIAIS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  <w:color w:val="FF0000"/>
        </w:rPr>
      </w:pPr>
      <w:r>
        <w:rPr>
          <w:rFonts w:ascii="Arial" w:hAnsi="Arial"/>
          <w:color w:val="000000"/>
        </w:rPr>
        <w:t>A Comissão de Biossegurança recomenda: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1. Solicitação pelo setores de material de limpeza priorizando </w:t>
      </w:r>
      <w:r>
        <w:rPr>
          <w:rFonts w:ascii="Arial" w:hAnsi="Arial"/>
          <w:b/>
          <w:bCs/>
        </w:rPr>
        <w:t>água sanitária (hipoclorito de sódio)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</w:rPr>
        <w:t>sacos de lixo</w:t>
      </w:r>
      <w:r>
        <w:rPr>
          <w:rFonts w:ascii="Arial" w:hAnsi="Arial"/>
        </w:rPr>
        <w:t xml:space="preserve"> para evitar a reciclagem dos mesmos, </w:t>
      </w:r>
      <w:r>
        <w:rPr>
          <w:rFonts w:ascii="Arial" w:hAnsi="Arial"/>
          <w:b/>
          <w:bCs/>
        </w:rPr>
        <w:t>borrifadores</w:t>
      </w:r>
      <w:r>
        <w:rPr>
          <w:rFonts w:ascii="Arial" w:hAnsi="Arial"/>
        </w:rPr>
        <w:t xml:space="preserve"> para desinfetar homogeneamente as superfícies.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2. Aplicação pelos funcionários de limpeza terceirizados do </w:t>
      </w:r>
      <w:r>
        <w:rPr>
          <w:rFonts w:ascii="Arial" w:hAnsi="Arial"/>
          <w:b/>
          <w:bCs/>
        </w:rPr>
        <w:t>protocolo de limpeza de banheiros, copas e áreas comuns</w:t>
      </w:r>
      <w:r>
        <w:rPr>
          <w:rFonts w:ascii="Arial" w:hAnsi="Arial"/>
        </w:rPr>
        <w:t xml:space="preserve"> (link para download).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3. Impressão e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 xml:space="preserve">instalação do material </w:t>
      </w:r>
      <w:r>
        <w:rPr>
          <w:rFonts w:ascii="Arial" w:hAnsi="Arial"/>
          <w:b/>
          <w:bCs/>
        </w:rPr>
        <w:t>de sinalização,</w:t>
      </w:r>
      <w:r>
        <w:rPr>
          <w:rFonts w:ascii="Arial" w:hAnsi="Arial"/>
        </w:rPr>
        <w:t xml:space="preserve"> formatos A3 (link para download) e A4 (link para download) nos ambientes comuns, e áreas de circulação.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CONTATO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" w:hAnsi="Arial"/>
        </w:rPr>
        <w:t xml:space="preserve">A comissão pode ser contactada pelo e-mail </w:t>
      </w:r>
      <w:hyperlink r:id="rId6">
        <w:r>
          <w:rPr>
            <w:rStyle w:val="LinkdaInternet"/>
            <w:rFonts w:ascii="Arial" w:hAnsi="Arial"/>
          </w:rPr>
          <w:t>biossegccen@gmail.com</w:t>
        </w:r>
      </w:hyperlink>
      <w:r>
        <w:rPr>
          <w:rFonts w:ascii="Arial" w:hAnsi="Arial"/>
        </w:rPr>
        <w:t xml:space="preserve"> ou junto ao seus representantes departamentais.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MEMBROS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</w:rPr>
        <w:t>Departamento de Biologia Molecular</w:t>
      </w:r>
    </w:p>
    <w:p>
      <w:pPr>
        <w:pStyle w:val="Normal"/>
        <w:rPr/>
      </w:pPr>
      <w:r>
        <w:rPr>
          <w:rFonts w:ascii="Arial" w:hAnsi="Arial"/>
        </w:rPr>
        <w:t xml:space="preserve">Davi Felipe Farias: </w:t>
      </w:r>
      <w:hyperlink r:id="rId7" w:tgtFrame="_blank">
        <w:r>
          <w:rPr>
            <w:rStyle w:val="LinkdaInternet"/>
            <w:rFonts w:ascii="Arial" w:hAnsi="Arial"/>
          </w:rPr>
          <w:t>davi@dbm.ufpb.br</w:t>
        </w:r>
      </w:hyperlink>
      <w:r>
        <w:rPr>
          <w:rFonts w:ascii="Arial" w:hAnsi="Arial"/>
        </w:rPr>
        <w:t xml:space="preserve"> </w:t>
      </w:r>
    </w:p>
    <w:p>
      <w:pPr>
        <w:pStyle w:val="Normal"/>
        <w:rPr/>
      </w:pPr>
      <w:r>
        <w:rPr>
          <w:rFonts w:ascii="Arial" w:hAnsi="Arial"/>
        </w:rPr>
        <w:t xml:space="preserve">Patricia Mirella da Silva Scardua: </w:t>
      </w:r>
      <w:hyperlink r:id="rId8" w:tgtFrame="_blank">
        <w:r>
          <w:rPr>
            <w:rStyle w:val="LinkdaInternet"/>
            <w:rFonts w:ascii="Arial" w:hAnsi="Arial"/>
          </w:rPr>
          <w:t>mirella_dasilva@hotmail.com</w:t>
        </w:r>
      </w:hyperlink>
    </w:p>
    <w:p>
      <w:pPr>
        <w:pStyle w:val="Normal"/>
        <w:rPr>
          <w:rFonts w:ascii="LM Sans 12" w:hAnsi="LM Sans 12"/>
          <w:b/>
          <w:b/>
        </w:rPr>
      </w:pPr>
      <w:r>
        <w:rPr>
          <w:rFonts w:ascii="Arial" w:hAnsi="Arial"/>
          <w:b/>
        </w:rPr>
        <w:t>Departamento de Estatística</w:t>
      </w:r>
    </w:p>
    <w:p>
      <w:pPr>
        <w:pStyle w:val="Normal"/>
        <w:rPr/>
      </w:pPr>
      <w:r>
        <w:rPr>
          <w:rFonts w:ascii="Arial" w:hAnsi="Arial"/>
        </w:rPr>
        <w:t xml:space="preserve">Anderson Barbosa Paz: </w:t>
      </w:r>
      <w:hyperlink r:id="rId9" w:tgtFrame="_blank">
        <w:r>
          <w:rPr>
            <w:rStyle w:val="LinkdaInternet"/>
            <w:rFonts w:ascii="Arial" w:hAnsi="Arial"/>
          </w:rPr>
          <w:t>andersonbarbosapaz@gmail.com</w:t>
        </w:r>
      </w:hyperlink>
    </w:p>
    <w:p>
      <w:pPr>
        <w:pStyle w:val="Normal"/>
        <w:rPr>
          <w:rFonts w:ascii="LM Sans 12" w:hAnsi="LM Sans 12"/>
          <w:b/>
          <w:b/>
        </w:rPr>
      </w:pPr>
      <w:r>
        <w:rPr>
          <w:rFonts w:ascii="Arial" w:hAnsi="Arial"/>
          <w:b/>
        </w:rPr>
        <w:t>Departamento de Física</w:t>
      </w:r>
    </w:p>
    <w:p>
      <w:pPr>
        <w:pStyle w:val="Normal"/>
        <w:rPr/>
      </w:pPr>
      <w:r>
        <w:rPr>
          <w:rFonts w:ascii="Arial" w:hAnsi="Arial"/>
        </w:rPr>
        <w:t xml:space="preserve">Charlie Salvador Gonçalves: </w:t>
      </w:r>
      <w:hyperlink r:id="rId10" w:tgtFrame="_blank">
        <w:r>
          <w:rPr>
            <w:rStyle w:val="LinkdaInternet"/>
            <w:rFonts w:ascii="Arial" w:hAnsi="Arial"/>
          </w:rPr>
          <w:t>charlie@fisica.ufpb.br</w:t>
        </w:r>
      </w:hyperlink>
    </w:p>
    <w:p>
      <w:pPr>
        <w:pStyle w:val="Normal"/>
        <w:rPr/>
      </w:pPr>
      <w:r>
        <w:rPr>
          <w:rFonts w:ascii="Arial" w:hAnsi="Arial"/>
        </w:rPr>
        <w:t xml:space="preserve">Thierry Marcelino Passerat de Silans: </w:t>
      </w:r>
      <w:hyperlink r:id="rId11" w:tgtFrame="_blank">
        <w:r>
          <w:rPr>
            <w:rStyle w:val="LinkdaInternet"/>
            <w:rFonts w:ascii="Arial" w:hAnsi="Arial"/>
          </w:rPr>
          <w:t>thierry@otica.ufpb.br</w:t>
        </w:r>
      </w:hyperlink>
    </w:p>
    <w:p>
      <w:pPr>
        <w:pStyle w:val="Normal"/>
        <w:rPr>
          <w:rFonts w:ascii="LM Sans 12" w:hAnsi="LM Sans 12"/>
          <w:b/>
          <w:b/>
        </w:rPr>
      </w:pPr>
      <w:r>
        <w:rPr>
          <w:rFonts w:ascii="Arial" w:hAnsi="Arial"/>
          <w:b/>
        </w:rPr>
        <w:t>Departamento de Goeciências</w:t>
      </w:r>
    </w:p>
    <w:p>
      <w:pPr>
        <w:pStyle w:val="Normal"/>
        <w:rPr/>
      </w:pPr>
      <w:r>
        <w:rPr>
          <w:rFonts w:ascii="Arial" w:hAnsi="Arial"/>
        </w:rPr>
        <w:t xml:space="preserve">Andrea Leandra Porto Sales: </w:t>
      </w:r>
      <w:hyperlink r:id="rId12" w:tgtFrame="_blank">
        <w:r>
          <w:rPr>
            <w:rStyle w:val="LinkdaInternet"/>
            <w:rFonts w:ascii="Arial" w:hAnsi="Arial"/>
          </w:rPr>
          <w:t>andreaportosales@gmail.com</w:t>
        </w:r>
      </w:hyperlink>
    </w:p>
    <w:p>
      <w:pPr>
        <w:pStyle w:val="Normal"/>
        <w:rPr>
          <w:rFonts w:ascii="LM Sans 12" w:hAnsi="LM Sans 12"/>
          <w:b/>
          <w:b/>
        </w:rPr>
      </w:pPr>
      <w:r>
        <w:rPr>
          <w:rFonts w:ascii="Arial" w:hAnsi="Arial"/>
          <w:b/>
        </w:rPr>
        <w:t>Departamento de Matemática</w:t>
      </w:r>
    </w:p>
    <w:p>
      <w:pPr>
        <w:pStyle w:val="Normal"/>
        <w:rPr/>
      </w:pPr>
      <w:r>
        <w:rPr>
          <w:rFonts w:ascii="Arial" w:hAnsi="Arial"/>
        </w:rPr>
        <w:t xml:space="preserve">Rogéria Gaudencio do Rêgo: </w:t>
      </w:r>
      <w:hyperlink r:id="rId13" w:tgtFrame="_blank">
        <w:r>
          <w:rPr>
            <w:rStyle w:val="LinkdaInternet"/>
            <w:rFonts w:ascii="Arial" w:hAnsi="Arial"/>
          </w:rPr>
          <w:t>rogeria.gaudencio@academico.</w:t>
        </w:r>
      </w:hyperlink>
    </w:p>
    <w:p>
      <w:pPr>
        <w:pStyle w:val="Normal"/>
        <w:rPr>
          <w:rFonts w:ascii="LM Sans 12" w:hAnsi="LM Sans 12"/>
          <w:b/>
          <w:b/>
        </w:rPr>
      </w:pPr>
      <w:r>
        <w:rPr>
          <w:rFonts w:ascii="Arial" w:hAnsi="Arial"/>
          <w:b/>
        </w:rPr>
        <w:t>Departamento de Quimica</w:t>
      </w:r>
    </w:p>
    <w:p>
      <w:pPr>
        <w:pStyle w:val="Normal"/>
        <w:rPr/>
      </w:pPr>
      <w:r>
        <w:rPr>
          <w:rFonts w:ascii="Arial" w:hAnsi="Arial"/>
        </w:rPr>
        <w:t xml:space="preserve">Ary da Silva Maia: </w:t>
      </w:r>
      <w:hyperlink r:id="rId14" w:tgtFrame="_blank">
        <w:r>
          <w:rPr>
            <w:rStyle w:val="LinkdaInternet"/>
            <w:rFonts w:ascii="Arial" w:hAnsi="Arial"/>
          </w:rPr>
          <w:t>arymaia@quimica.ufpb.br</w:t>
        </w:r>
      </w:hyperlink>
    </w:p>
    <w:p>
      <w:pPr>
        <w:pStyle w:val="Normal"/>
        <w:rPr/>
      </w:pPr>
      <w:r>
        <w:rPr>
          <w:rFonts w:ascii="Arial" w:hAnsi="Arial"/>
        </w:rPr>
        <w:t xml:space="preserve">Danila de Araujo Barbosa: </w:t>
      </w:r>
      <w:hyperlink r:id="rId15" w:tgtFrame="_blank">
        <w:r>
          <w:rPr>
            <w:rStyle w:val="LinkdaInternet"/>
            <w:rFonts w:ascii="Arial" w:hAnsi="Arial"/>
          </w:rPr>
          <w:t>danilaaraujobarbosa@gmail.com</w:t>
        </w:r>
      </w:hyperlink>
    </w:p>
    <w:p>
      <w:pPr>
        <w:pStyle w:val="Normal"/>
        <w:rPr>
          <w:rFonts w:ascii="LM Sans 12" w:hAnsi="LM Sans 12"/>
          <w:b/>
          <w:b/>
        </w:rPr>
      </w:pPr>
      <w:r>
        <w:rPr>
          <w:rFonts w:ascii="Arial" w:hAnsi="Arial"/>
          <w:b/>
        </w:rPr>
        <w:t>Departamento de Sistemática e Ecologia</w:t>
      </w:r>
    </w:p>
    <w:p>
      <w:pPr>
        <w:pStyle w:val="Normal"/>
        <w:rPr/>
      </w:pPr>
      <w:r>
        <w:rPr>
          <w:rFonts w:ascii="Arial" w:hAnsi="Arial"/>
        </w:rPr>
        <w:t xml:space="preserve">Antônio José Creão Duarte: </w:t>
      </w:r>
      <w:hyperlink r:id="rId16" w:tgtFrame="_blank">
        <w:r>
          <w:rPr>
            <w:rStyle w:val="LinkdaInternet"/>
            <w:rFonts w:ascii="Arial" w:hAnsi="Arial"/>
          </w:rPr>
          <w:t>creaoduarte@yahoo.com.br</w:t>
        </w:r>
      </w:hyperlink>
    </w:p>
    <w:p>
      <w:pPr>
        <w:pStyle w:val="Normal"/>
        <w:rPr/>
      </w:pPr>
      <w:r>
        <w:rPr>
          <w:rFonts w:ascii="Arial" w:hAnsi="Arial"/>
        </w:rPr>
        <w:t xml:space="preserve">Pedro Cordeiro Estrela: </w:t>
      </w:r>
      <w:hyperlink r:id="rId17" w:tgtFrame="_blank">
        <w:r>
          <w:rPr>
            <w:rStyle w:val="LinkdaInternet"/>
            <w:rFonts w:ascii="Arial" w:hAnsi="Arial"/>
          </w:rPr>
          <w:t>estrela@dse.ufpb.br</w:t>
        </w:r>
      </w:hyperlink>
      <w:bookmarkEnd w:id="0"/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center"/>
        <w:rPr>
          <w:rFonts w:ascii="LM Sans 12" w:hAnsi="LM Sans 12"/>
        </w:rPr>
      </w:pPr>
      <w:r>
        <w:rPr>
          <w:rFonts w:cs="Arial" w:ascii="Arial" w:hAnsi="Arial"/>
          <w:b/>
          <w:bCs/>
        </w:rPr>
        <w:t xml:space="preserve">ANEXO 1 </w:t>
      </w:r>
    </w:p>
    <w:p>
      <w:pPr>
        <w:pStyle w:val="Normal"/>
        <w:spacing w:before="0" w:after="120"/>
        <w:jc w:val="center"/>
        <w:rPr>
          <w:rFonts w:ascii="LM Sans 12" w:hAnsi="LM Sans 12"/>
        </w:rPr>
      </w:pPr>
      <w:r>
        <w:rPr>
          <w:rFonts w:cs="Arial" w:ascii="Arial" w:hAnsi="Arial"/>
          <w:b/>
          <w:bCs/>
        </w:rPr>
        <w:t>COMISSÃO DE BIOSSEGURANÇA DO CCEN/UFPB</w:t>
      </w:r>
    </w:p>
    <w:p>
      <w:pPr>
        <w:pStyle w:val="Normal"/>
        <w:spacing w:before="0" w:after="120"/>
        <w:jc w:val="center"/>
        <w:rPr>
          <w:rFonts w:ascii="LM Sans 12" w:hAnsi="LM Sans 12"/>
        </w:rPr>
      </w:pPr>
      <w:r>
        <w:rPr>
          <w:rFonts w:cs="Arial" w:ascii="Arial" w:hAnsi="Arial"/>
          <w:b/>
          <w:bCs/>
        </w:rPr>
        <w:t>Protocolo para limpeza de banheiros e áreas comuns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LM Sans 12" w:hAnsi="LM Sans 12"/>
        </w:rPr>
      </w:pPr>
      <w:r>
        <w:rPr>
          <w:rFonts w:cs="Arial" w:ascii="Arial" w:hAnsi="Arial"/>
          <w:b/>
          <w:bCs/>
        </w:rPr>
        <w:t>PROCEDIMENTOS GERAIS PARA TODOS OS ESPAÇOS</w:t>
      </w:r>
    </w:p>
    <w:p>
      <w:pPr>
        <w:pStyle w:val="Normal"/>
        <w:ind w:firstLine="284"/>
        <w:jc w:val="both"/>
        <w:rPr>
          <w:rFonts w:ascii="LM Sans 12" w:hAnsi="LM Sans 12"/>
        </w:rPr>
      </w:pPr>
      <w:r>
        <w:rPr>
          <w:rFonts w:cs="Arial" w:ascii="Arial" w:hAnsi="Arial"/>
        </w:rPr>
        <w:t>Com uso de luvas descartáveis, máscara descartável ou de tecido limpa e farda limpa (lavada diariamente), deve-se pelo menos 2 vezes ao dia:</w:t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LM Sans 12" w:hAnsi="LM Sans 12"/>
        </w:rPr>
      </w:pPr>
      <w:r>
        <w:rPr>
          <w:rFonts w:cs="Arial" w:ascii="Arial" w:hAnsi="Arial"/>
        </w:rPr>
        <w:t>Abastecer o tapete sanitizante ou pedilúvio (bandeja com pano umedecido) com solução de hipoclorito de sódio (0,1%)* e substituir o pano de secar os pés.</w:t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LM Sans 12" w:hAnsi="LM Sans 12"/>
        </w:rPr>
      </w:pPr>
      <w:r>
        <w:rPr>
          <w:rFonts w:cs="Arial" w:ascii="Arial" w:hAnsi="Arial"/>
        </w:rPr>
        <w:t>Fazer a limpeza do chão com rodo e pano encharcado com solução de hipoclorito e deixar secar naturalmente. Não usar vassoura!</w:t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LM Sans 12" w:hAnsi="LM Sans 12"/>
        </w:rPr>
      </w:pPr>
      <w:r>
        <w:rPr>
          <w:rFonts w:cs="Arial" w:ascii="Arial" w:hAnsi="Arial"/>
        </w:rPr>
        <w:t xml:space="preserve">Limpar maçaneta, bancadas, torneiras, dispensadores de sabonete e de papel toalha com o auxílio de um borrifador com álcool 70% e papel. </w:t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LM Sans 12" w:hAnsi="LM Sans 12"/>
        </w:rPr>
      </w:pPr>
      <w:r>
        <w:rPr>
          <w:rFonts w:cs="Arial" w:ascii="Arial" w:hAnsi="Arial"/>
        </w:rPr>
        <w:t>Recolher o lixo, fechando cada saco de forma individual. Não transfira lixo de um saco para outro. Em cada coleta de lixo, faça a troca do saco por um novo.</w:t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LM Sans 12" w:hAnsi="LM Sans 12"/>
        </w:rPr>
      </w:pPr>
      <w:r>
        <w:rPr>
          <w:rFonts w:cs="Arial" w:ascii="Arial" w:hAnsi="Arial"/>
        </w:rPr>
        <w:t>Verificar a disponibilidade de álcool gel 70% e/ou sabonete, papel toalha e/ou papel higiênico na entrada</w:t>
      </w:r>
    </w:p>
    <w:p>
      <w:pPr>
        <w:pStyle w:val="Normal"/>
        <w:ind w:left="7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LM Sans 12" w:hAnsi="LM Sans 12"/>
        </w:rPr>
      </w:pPr>
      <w:r>
        <w:rPr>
          <w:rFonts w:ascii="Arial" w:hAnsi="Arial"/>
          <w:b/>
          <w:bCs/>
        </w:rPr>
        <w:t>BANHEIROS</w:t>
      </w:r>
    </w:p>
    <w:p>
      <w:pPr>
        <w:pStyle w:val="Normal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LM Sans 12" w:hAnsi="LM Sans 12"/>
        </w:rPr>
      </w:pPr>
      <w:r>
        <w:rPr>
          <w:rFonts w:cs="Arial" w:ascii="Arial" w:hAnsi="Arial"/>
          <w:b/>
          <w:bCs/>
        </w:rPr>
        <w:t>Sanitários e mictórios devem ser higienizados com hipoclorito de sódio (0,1%)</w:t>
      </w:r>
      <w:r>
        <w:rPr>
          <w:rFonts w:cs="Arial" w:ascii="Arial" w:hAnsi="Arial"/>
        </w:rPr>
        <w:t xml:space="preserve">, utilizando borrifador reservado somente para esta finalidade. </w:t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Arial" w:hAnsi="Arial"/>
        </w:rPr>
      </w:pPr>
      <w:r>
        <w:rPr>
          <w:rFonts w:cs="Arial" w:ascii="Arial" w:hAnsi="Arial"/>
        </w:rPr>
        <w:t>Separe utensílios de limpeza</w:t>
      </w:r>
      <w:r>
        <w:rPr>
          <w:rFonts w:cs="Arial" w:ascii="Arial" w:hAnsi="Arial"/>
          <w:b/>
          <w:bCs/>
        </w:rPr>
        <w:t xml:space="preserve"> somente para uso na limpeza do banheiro</w:t>
      </w:r>
      <w:r>
        <w:rPr>
          <w:rFonts w:cs="Arial" w:ascii="Arial" w:hAnsi="Arial"/>
        </w:rPr>
        <w:t xml:space="preserve"> (rodo, balde, borrifadores).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LM Sans 12" w:hAnsi="LM Sans 12"/>
        </w:rPr>
      </w:pPr>
      <w:r>
        <w:rPr>
          <w:rFonts w:cs="Arial" w:ascii="Arial" w:hAnsi="Arial"/>
          <w:b/>
          <w:bCs/>
        </w:rPr>
        <w:t>COPA</w:t>
      </w:r>
    </w:p>
    <w:p>
      <w:pPr>
        <w:pStyle w:val="ListParagraph"/>
        <w:numPr>
          <w:ilvl w:val="1"/>
          <w:numId w:val="1"/>
        </w:numPr>
        <w:ind w:left="851" w:hanging="491"/>
        <w:jc w:val="both"/>
        <w:rPr>
          <w:rFonts w:ascii="LM Sans 12" w:hAnsi="LM Sans 12"/>
        </w:rPr>
      </w:pPr>
      <w:r>
        <w:rPr>
          <w:rFonts w:cs="Arial" w:ascii="Arial" w:hAnsi="Arial"/>
        </w:rPr>
        <w:t>Limpar maçaneta da porta, pegadores da geladeira e micro-ondas, bancadas, mesa, cadeira, torneira e utensílios expostos com o auxílio de um borrifador com álcool 70% e papel.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LM Sans 12" w:hAnsi="LM Sans 12"/>
        </w:rPr>
      </w:pPr>
      <w:r>
        <w:rPr>
          <w:rFonts w:cs="Arial" w:ascii="Arial" w:hAnsi="Arial"/>
          <w:b/>
          <w:bCs/>
        </w:rPr>
        <w:t xml:space="preserve">ENTRADAS PRINCIPAIS E CORREDORES </w:t>
      </w:r>
    </w:p>
    <w:p>
      <w:pPr>
        <w:pStyle w:val="ListParagraph"/>
        <w:numPr>
          <w:ilvl w:val="1"/>
          <w:numId w:val="2"/>
        </w:numPr>
        <w:ind w:left="720" w:hanging="436"/>
        <w:jc w:val="both"/>
        <w:rPr>
          <w:rFonts w:ascii="LM Sans 12" w:hAnsi="LM Sans 12"/>
        </w:rPr>
      </w:pPr>
      <w:r>
        <w:rPr>
          <w:rFonts w:cs="Arial" w:ascii="Arial" w:hAnsi="Arial"/>
        </w:rPr>
        <w:t>Se disponível: fazer limpeza do termômetro de parede, do caderno de registro de temperatura, da caneta e da mesa/bancada com o auxílio de um borrifador de álcool 70% e papel.</w:t>
      </w:r>
    </w:p>
    <w:p>
      <w:pPr>
        <w:pStyle w:val="Normal"/>
        <w:ind w:left="709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2670" w:leader="none"/>
        </w:tabs>
        <w:spacing w:before="0" w:after="120"/>
        <w:jc w:val="both"/>
        <w:rPr>
          <w:rFonts w:ascii="LM Sans 12" w:hAnsi="LM Sans 12"/>
          <w:b/>
          <w:b/>
          <w:bCs/>
        </w:rPr>
      </w:pPr>
      <w:r>
        <w:rPr>
          <w:rFonts w:cs="Arial" w:ascii="Arial" w:hAnsi="Arial"/>
          <w:b/>
          <w:bCs/>
        </w:rPr>
        <w:t>COMO PREPARAR A SOLUÇÃO DE HIPOCLORITO DE SÓDIO 0,1%?</w:t>
      </w:r>
    </w:p>
    <w:p>
      <w:pPr>
        <w:pStyle w:val="Normal"/>
        <w:tabs>
          <w:tab w:val="clear" w:pos="708"/>
          <w:tab w:val="left" w:pos="2670" w:leader="none"/>
        </w:tabs>
        <w:spacing w:before="0" w:after="120"/>
        <w:jc w:val="both"/>
        <w:rPr>
          <w:rFonts w:ascii="Arial" w:hAnsi="Arial"/>
        </w:rPr>
      </w:pPr>
      <w:r>
        <w:rPr>
          <w:rFonts w:cs="Arial" w:ascii="Arial" w:hAnsi="Arial"/>
        </w:rPr>
        <w:t>- Para preparar 20 litros: transfira todo o conteúdo de um frasco de água sanitária de 1 litro para um vasilhame com capacidade para 20 litros. Em seguida, encha o vasilhame com água da torneira até o limite. Guarde fechado e em local protegido da luz e arejado.</w:t>
      </w:r>
    </w:p>
    <w:p>
      <w:pPr>
        <w:pStyle w:val="Normal"/>
        <w:tabs>
          <w:tab w:val="clear" w:pos="708"/>
          <w:tab w:val="left" w:pos="2670" w:leader="none"/>
        </w:tabs>
        <w:spacing w:before="0" w:after="120"/>
        <w:jc w:val="both"/>
        <w:rPr>
          <w:rFonts w:ascii="LM Sans 12" w:hAnsi="LM Sans 12" w:cs="Arial"/>
        </w:rPr>
      </w:pPr>
      <w:r>
        <w:rPr>
          <w:rFonts w:cs="Arial" w:ascii="LM Sans 12" w:hAnsi="LM Sans 12"/>
        </w:rPr>
      </w:r>
    </w:p>
    <w:p>
      <w:pPr>
        <w:pStyle w:val="Normal"/>
        <w:tabs>
          <w:tab w:val="clear" w:pos="708"/>
          <w:tab w:val="left" w:pos="2670" w:leader="none"/>
        </w:tabs>
        <w:spacing w:before="0" w:after="120"/>
        <w:jc w:val="both"/>
        <w:rPr>
          <w:rFonts w:ascii="LM Sans 12" w:hAnsi="LM Sans 12" w:cs="Arial"/>
        </w:rPr>
      </w:pPr>
      <w:r>
        <w:rPr>
          <w:rFonts w:cs="Arial" w:ascii="LM Sans 12" w:hAnsi="LM Sans 12"/>
        </w:rPr>
      </w:r>
    </w:p>
    <w:p>
      <w:pPr>
        <w:pStyle w:val="Normal"/>
        <w:tabs>
          <w:tab w:val="clear" w:pos="708"/>
          <w:tab w:val="left" w:pos="2670" w:leader="none"/>
        </w:tabs>
        <w:spacing w:before="0" w:after="12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ANEXO 2: MATERIAL DE SINALIZAÇÃO</w:t>
      </w:r>
    </w:p>
    <w:p>
      <w:pPr>
        <w:pStyle w:val="Normal"/>
        <w:tabs>
          <w:tab w:val="clear" w:pos="708"/>
          <w:tab w:val="left" w:pos="2670" w:leader="none"/>
        </w:tabs>
        <w:spacing w:before="0" w:after="12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disponível também em A4 e A3 por e-mail</w:t>
      </w:r>
    </w:p>
    <w:p>
      <w:pPr>
        <w:pStyle w:val="Normal"/>
        <w:tabs>
          <w:tab w:val="clear" w:pos="708"/>
          <w:tab w:val="left" w:pos="2670" w:leader="none"/>
        </w:tabs>
        <w:spacing w:before="0" w:after="12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7199630"/>
            <wp:effectExtent l="0" t="0" r="0" b="0"/>
            <wp:wrapSquare wrapText="largest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9"/>
      <w:footerReference w:type="default" r:id="rId20"/>
      <w:type w:val="nextPage"/>
      <w:pgSz w:w="11906" w:h="16838"/>
      <w:pgMar w:left="1701" w:right="1701" w:header="1050" w:top="2135" w:footer="708" w:bottom="121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M Sans 12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3572" w:hanging="0"/>
      <w:rPr/>
    </w:pPr>
    <w:r>
      <w:drawing>
        <wp:anchor behindDoc="1" distT="0" distB="0" distL="114300" distR="114300" simplePos="0" locked="0" layoutInCell="1" allowOverlap="1" relativeHeight="7">
          <wp:simplePos x="0" y="0"/>
          <wp:positionH relativeFrom="column">
            <wp:posOffset>-30480</wp:posOffset>
          </wp:positionH>
          <wp:positionV relativeFrom="paragraph">
            <wp:posOffset>2540</wp:posOffset>
          </wp:positionV>
          <wp:extent cx="1884045" cy="479425"/>
          <wp:effectExtent l="0" t="0" r="0" b="0"/>
          <wp:wrapSquare wrapText="bothSides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1534795</wp:posOffset>
          </wp:positionH>
          <wp:positionV relativeFrom="paragraph">
            <wp:posOffset>10795</wp:posOffset>
          </wp:positionV>
          <wp:extent cx="710565" cy="47117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0"/>
        <w:szCs w:val="20"/>
      </w:rPr>
      <w:t>U</w:t>
    </w:r>
    <w:r>
      <w:rPr>
        <w:rFonts w:ascii="Arial" w:hAnsi="Arial"/>
        <w:sz w:val="20"/>
        <w:szCs w:val="20"/>
      </w:rPr>
      <w:t>NIVERSIDADE FEDERAL DA PARAÍBA</w:t>
    </w:r>
  </w:p>
  <w:p>
    <w:pPr>
      <w:pStyle w:val="Header"/>
      <w:ind w:left="3572" w:hanging="0"/>
      <w:rPr>
        <w:rFonts w:ascii="LM Sans 12" w:hAnsi="LM Sans 12"/>
        <w:sz w:val="20"/>
        <w:szCs w:val="20"/>
      </w:rPr>
    </w:pPr>
    <w:r>
      <w:rPr>
        <w:rFonts w:ascii="Arial" w:hAnsi="Arial"/>
        <w:sz w:val="20"/>
        <w:szCs w:val="20"/>
      </w:rPr>
      <w:t>Comissão de biossegurança do CCEN</w:t>
    </w:r>
  </w:p>
  <w:p>
    <w:pPr>
      <w:pStyle w:val="Header"/>
      <w:ind w:left="3572" w:hanging="0"/>
      <w:rPr>
        <w:rFonts w:ascii="Arial" w:hAnsi="Arial"/>
      </w:rPr>
    </w:pPr>
    <w:r>
      <w:rPr>
        <w:rFonts w:ascii="Arial" w:hAnsi="Arial"/>
        <w:sz w:val="20"/>
        <w:szCs w:val="20"/>
      </w:rPr>
      <w:t>biossegccen@gmail.com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847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77882"/>
    <w:rPr>
      <w:rFonts w:ascii="Times New Roman" w:hAnsi="Times New Roman" w:cs="Times New Roman"/>
      <w:sz w:val="18"/>
      <w:szCs w:val="18"/>
    </w:rPr>
  </w:style>
  <w:style w:type="character" w:styleId="ListLabel1" w:customStyle="1">
    <w:name w:val="ListLabel 1"/>
    <w:qFormat/>
    <w:rPr>
      <w:b w:val="false"/>
    </w:rPr>
  </w:style>
  <w:style w:type="character" w:styleId="LinkdaInternet" w:customStyle="1">
    <w:name w:val="Link da Internet"/>
    <w:qFormat/>
    <w:rPr>
      <w:color w:val="000080"/>
      <w:u w:val="single"/>
    </w:rPr>
  </w:style>
  <w:style w:type="character" w:styleId="ListLabel2" w:customStyle="1">
    <w:name w:val="ListLabel 2"/>
    <w:qFormat/>
    <w:rPr>
      <w:rFonts w:ascii="LM Sans 12" w:hAnsi="LM Sans 12"/>
      <w:sz w:val="24"/>
      <w:szCs w:val="24"/>
    </w:rPr>
  </w:style>
  <w:style w:type="character" w:styleId="ListLabel3" w:customStyle="1">
    <w:name w:val="ListLabel 3"/>
    <w:qFormat/>
    <w:rPr>
      <w:rFonts w:ascii="Arial" w:hAnsi="Arial"/>
      <w:sz w:val="24"/>
      <w:szCs w:val="24"/>
    </w:rPr>
  </w:style>
  <w:style w:type="character" w:styleId="ListLabel4" w:customStyle="1">
    <w:name w:val="ListLabel 4"/>
    <w:qFormat/>
    <w:rPr>
      <w:rFonts w:ascii="Arial" w:hAnsi="Arial"/>
      <w:sz w:val="24"/>
      <w:szCs w:val="24"/>
    </w:rPr>
  </w:style>
  <w:style w:type="character" w:styleId="ListLabel5" w:customStyle="1">
    <w:name w:val="ListLabel 5"/>
    <w:qFormat/>
    <w:rPr>
      <w:rFonts w:ascii="Arial" w:hAnsi="Arial"/>
      <w:sz w:val="24"/>
      <w:szCs w:val="24"/>
    </w:rPr>
  </w:style>
  <w:style w:type="character" w:styleId="ListLabel6" w:customStyle="1">
    <w:name w:val="ListLabel 6"/>
    <w:qFormat/>
    <w:rPr>
      <w:rFonts w:ascii="Arial" w:hAnsi="Arial"/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dd0d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d0d0a"/>
    <w:rPr>
      <w:color w:val="605E5C"/>
      <w:shd w:fill="E1DFDD" w:val="clear"/>
    </w:rPr>
  </w:style>
  <w:style w:type="character" w:styleId="ListLabel7">
    <w:name w:val="ListLabel 7"/>
    <w:qFormat/>
    <w:rPr>
      <w:rFonts w:ascii="Arial" w:hAnsi="Aria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7882"/>
    <w:pPr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409f9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fpb.br/cras/contents/documentos/planoderetornocbi_2110_aprov.pdf" TargetMode="External"/><Relationship Id="rId3" Type="http://schemas.openxmlformats.org/officeDocument/2006/relationships/hyperlink" Target="https://forms.gle/ZXZvS7C1ahCMECLy9" TargetMode="External"/><Relationship Id="rId4" Type="http://schemas.openxmlformats.org/officeDocument/2006/relationships/hyperlink" Target="https://www.ufpb.br/cras/contents/documentos/planoderetornocbi_2110_aprov.pdf" TargetMode="External"/><Relationship Id="rId5" Type="http://schemas.openxmlformats.org/officeDocument/2006/relationships/hyperlink" Target="https://forms.gle/ZXZvS7C1ahCMECLy9" TargetMode="External"/><Relationship Id="rId6" Type="http://schemas.openxmlformats.org/officeDocument/2006/relationships/hyperlink" Target="mailto:biossegccen@gmail.com" TargetMode="External"/><Relationship Id="rId7" Type="http://schemas.openxmlformats.org/officeDocument/2006/relationships/hyperlink" Target="mailto:davi@dbm.ufpb.br" TargetMode="External"/><Relationship Id="rId8" Type="http://schemas.openxmlformats.org/officeDocument/2006/relationships/hyperlink" Target="mailto:mirella_dasilva@hotmail.com" TargetMode="External"/><Relationship Id="rId9" Type="http://schemas.openxmlformats.org/officeDocument/2006/relationships/hyperlink" Target="mailto:andersonbarbosapaz@gmail.com" TargetMode="External"/><Relationship Id="rId10" Type="http://schemas.openxmlformats.org/officeDocument/2006/relationships/hyperlink" Target="mailto:charlie@fisica.ufpb.br" TargetMode="External"/><Relationship Id="rId11" Type="http://schemas.openxmlformats.org/officeDocument/2006/relationships/hyperlink" Target="mailto:thierry@otica.ufpb.br" TargetMode="External"/><Relationship Id="rId12" Type="http://schemas.openxmlformats.org/officeDocument/2006/relationships/hyperlink" Target="mailto:andreaportosales@gmail.com" TargetMode="External"/><Relationship Id="rId13" Type="http://schemas.openxmlformats.org/officeDocument/2006/relationships/hyperlink" Target="mailto:rogeria.gaudencio@academico.ufpb.br" TargetMode="External"/><Relationship Id="rId14" Type="http://schemas.openxmlformats.org/officeDocument/2006/relationships/hyperlink" Target="mailto:arymaia@quimica.ufpb.br" TargetMode="External"/><Relationship Id="rId15" Type="http://schemas.openxmlformats.org/officeDocument/2006/relationships/hyperlink" Target="mailto:danilaaraujobarbosa@gmail.com" TargetMode="External"/><Relationship Id="rId16" Type="http://schemas.openxmlformats.org/officeDocument/2006/relationships/hyperlink" Target="mailto:creaoduarte@yahoo.com.br" TargetMode="External"/><Relationship Id="rId17" Type="http://schemas.openxmlformats.org/officeDocument/2006/relationships/hyperlink" Target="mailto:estrela@dse.ufpb.br" TargetMode="External"/><Relationship Id="rId18" Type="http://schemas.openxmlformats.org/officeDocument/2006/relationships/image" Target="media/image1.png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LibreOffice/6.1.5.2$Linux_X86_64 LibreOffice_project/10$Build-2</Application>
  <Pages>5</Pages>
  <Words>941</Words>
  <Characters>5593</Characters>
  <CharactersWithSpaces>6467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2020-12-16T18:04:00Z</dcterms:created>
  <dc:creator>Davi Felipe Farias</dc:creator>
  <dc:description/>
  <dc:language>en-US</dc:language>
  <cp:lastModifiedBy>pedro </cp:lastModifiedBy>
  <cp:lastPrinted>2020-12-02T10:28:00Z</cp:lastPrinted>
  <dcterms:modified xsi:type="dcterms:W3CDTF">2020-12-17T15:40:35Z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